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02D" w14:textId="424C78E4" w:rsidR="00BB0946" w:rsidRDefault="00BB0946" w:rsidP="00BB0946">
      <w:pPr>
        <w:spacing w:line="259" w:lineRule="auto"/>
        <w:ind w:left="10" w:right="2" w:hanging="10"/>
        <w:jc w:val="center"/>
        <w:rPr>
          <w:rFonts w:ascii="Palatino Linotype" w:eastAsia="Garamond" w:hAnsi="Palatino Linotype" w:cs="Garamond"/>
          <w:b/>
          <w:color w:val="000000"/>
          <w:sz w:val="21"/>
          <w:szCs w:val="21"/>
          <w:lang w:eastAsia="en-GB" w:bidi="en-GB"/>
        </w:rPr>
      </w:pPr>
      <w:r>
        <w:rPr>
          <w:rFonts w:ascii="Palatino Linotype" w:eastAsia="Garamond" w:hAnsi="Palatino Linotype" w:cs="Garamond"/>
          <w:b/>
          <w:color w:val="000000"/>
          <w:sz w:val="21"/>
          <w:szCs w:val="21"/>
          <w:lang w:eastAsia="en-GB" w:bidi="en-GB"/>
        </w:rPr>
        <w:t xml:space="preserve">Dr Charlotte Woodford </w:t>
      </w:r>
    </w:p>
    <w:p w14:paraId="771D1C04" w14:textId="389DBE5A" w:rsidR="00BB0946" w:rsidRPr="00BB0946" w:rsidRDefault="00BB0946" w:rsidP="00BB0946">
      <w:pPr>
        <w:spacing w:line="259" w:lineRule="auto"/>
        <w:ind w:left="10" w:right="2" w:hanging="10"/>
        <w:jc w:val="center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>
        <w:rPr>
          <w:rFonts w:ascii="Palatino Linotype" w:eastAsia="Garamond" w:hAnsi="Palatino Linotype" w:cs="Garamond"/>
          <w:b/>
          <w:color w:val="000000"/>
          <w:sz w:val="21"/>
          <w:szCs w:val="21"/>
          <w:lang w:eastAsia="en-GB" w:bidi="en-GB"/>
        </w:rPr>
        <w:t xml:space="preserve">LIST OF </w:t>
      </w:r>
      <w:r w:rsidRPr="00BB0946">
        <w:rPr>
          <w:rFonts w:ascii="Palatino Linotype" w:eastAsia="Garamond" w:hAnsi="Palatino Linotype" w:cs="Garamond"/>
          <w:b/>
          <w:color w:val="000000"/>
          <w:sz w:val="21"/>
          <w:szCs w:val="21"/>
          <w:lang w:eastAsia="en-GB" w:bidi="en-GB"/>
        </w:rPr>
        <w:t xml:space="preserve">PUBLICATIONS </w:t>
      </w:r>
    </w:p>
    <w:p w14:paraId="32C8B4CC" w14:textId="77777777" w:rsidR="00BB0946" w:rsidRPr="00BB0946" w:rsidRDefault="00BB0946" w:rsidP="00BB0946">
      <w:pPr>
        <w:spacing w:line="259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b/>
          <w:color w:val="000000"/>
          <w:sz w:val="21"/>
          <w:szCs w:val="21"/>
          <w:lang w:eastAsia="en-GB" w:bidi="en-GB"/>
        </w:rPr>
        <w:t xml:space="preserve"> </w:t>
      </w:r>
    </w:p>
    <w:p w14:paraId="58CCCCF3" w14:textId="77777777" w:rsidR="00BB0946" w:rsidRPr="00BB0946" w:rsidRDefault="00BB0946" w:rsidP="00BB0946">
      <w:pPr>
        <w:keepNext/>
        <w:keepLines/>
        <w:pBdr>
          <w:bottom w:val="single" w:sz="12" w:space="1" w:color="auto"/>
        </w:pBdr>
        <w:spacing w:line="259" w:lineRule="auto"/>
        <w:ind w:left="-5" w:hanging="10"/>
        <w:outlineLvl w:val="0"/>
        <w:rPr>
          <w:rFonts w:ascii="Palatino Linotype" w:eastAsia="Garamond" w:hAnsi="Palatino Linotype" w:cs="Garamond"/>
          <w:color w:val="000000"/>
          <w:sz w:val="21"/>
          <w:szCs w:val="21"/>
          <w:lang w:eastAsia="en-GB"/>
        </w:rPr>
      </w:pPr>
      <w:r w:rsidRPr="00BB0946">
        <w:rPr>
          <w:rFonts w:ascii="Palatino Linotype" w:eastAsia="Garamond" w:hAnsi="Palatino Linotype" w:cs="Garamond"/>
          <w:b/>
          <w:color w:val="000000"/>
          <w:sz w:val="21"/>
          <w:szCs w:val="21"/>
          <w:lang w:eastAsia="en-GB"/>
        </w:rPr>
        <w:t>BOOKS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/>
        </w:rPr>
        <w:t xml:space="preserve"> </w:t>
      </w:r>
    </w:p>
    <w:p w14:paraId="43DF741F" w14:textId="77777777" w:rsidR="00BB0946" w:rsidRPr="00BB0946" w:rsidRDefault="00BB0946" w:rsidP="00BB0946">
      <w:pPr>
        <w:spacing w:line="259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</w:p>
    <w:p w14:paraId="59FF9B3C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Protest and Reform in German Literary and Visual Culture 1871-1918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with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Godela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Weiss-Sussex (Munich: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Iudicium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2015) </w:t>
      </w:r>
    </w:p>
    <w:p w14:paraId="3DF33253" w14:textId="77777777" w:rsidR="00BB0946" w:rsidRPr="00BB0946" w:rsidRDefault="00BB0946" w:rsidP="00BB0946">
      <w:pPr>
        <w:spacing w:after="230" w:line="248" w:lineRule="auto"/>
        <w:ind w:left="-5" w:hanging="10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Women, </w:t>
      </w:r>
      <w:proofErr w:type="gram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Emancipation</w:t>
      </w:r>
      <w:proofErr w:type="gram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and the German Novel 1871-1910: Protest Fiction in its Cultural Context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(Oxford: Legenda, 2014)  </w:t>
      </w:r>
    </w:p>
    <w:p w14:paraId="35DE78B6" w14:textId="77777777" w:rsidR="00BB0946" w:rsidRPr="00BB0946" w:rsidRDefault="00BB0946" w:rsidP="00BB0946">
      <w:pPr>
        <w:spacing w:after="100" w:afterAutospacing="1" w:line="247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The Late Nineteenth-Century German Bestseller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with Benedict Schofield (Rochester NY: Camden House, 2012) </w:t>
      </w:r>
    </w:p>
    <w:p w14:paraId="00F6346B" w14:textId="49B3F797" w:rsidR="00BB0946" w:rsidRPr="00BB0946" w:rsidRDefault="00BB0946" w:rsidP="00BB0946">
      <w:pPr>
        <w:spacing w:after="100" w:afterAutospacing="1" w:line="247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Nuns as Historians in Early Modern Germany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(Oxford: OUP, 2002) </w:t>
      </w:r>
    </w:p>
    <w:p w14:paraId="0045AC57" w14:textId="77777777" w:rsidR="00BB0946" w:rsidRPr="00BB0946" w:rsidRDefault="00BB0946" w:rsidP="00BB0946">
      <w:pPr>
        <w:keepNext/>
        <w:keepLines/>
        <w:pBdr>
          <w:bottom w:val="single" w:sz="12" w:space="1" w:color="auto"/>
        </w:pBdr>
        <w:spacing w:after="217" w:line="259" w:lineRule="auto"/>
        <w:ind w:left="-5" w:hanging="10"/>
        <w:outlineLvl w:val="0"/>
        <w:rPr>
          <w:rFonts w:ascii="Palatino Linotype" w:eastAsia="Garamond" w:hAnsi="Palatino Linotype" w:cs="Garamond"/>
          <w:b/>
          <w:color w:val="000000"/>
          <w:sz w:val="21"/>
          <w:szCs w:val="21"/>
          <w:lang w:val="de-DE" w:eastAsia="en-GB"/>
        </w:rPr>
      </w:pPr>
      <w:r w:rsidRPr="00BB0946">
        <w:rPr>
          <w:rFonts w:ascii="Palatino Linotype" w:eastAsia="Garamond" w:hAnsi="Palatino Linotype" w:cs="Garamond"/>
          <w:b/>
          <w:color w:val="000000"/>
          <w:sz w:val="21"/>
          <w:szCs w:val="21"/>
          <w:lang w:val="de-DE" w:eastAsia="en-GB"/>
        </w:rPr>
        <w:t xml:space="preserve">ARTICLES/CHAPTERS </w:t>
      </w:r>
    </w:p>
    <w:p w14:paraId="0BF13351" w14:textId="77777777" w:rsidR="00BB0946" w:rsidRPr="00BB0946" w:rsidRDefault="00BB0946" w:rsidP="00BB0946">
      <w:pPr>
        <w:spacing w:line="259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‘“Wir hätten keine Zukunft mehr?“’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Hedwig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Dohm’s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Future-Orientated Ideas of Aging in Feminist Writings from the 1900s and Her Short Story </w:t>
      </w:r>
      <w:proofErr w:type="spellStart"/>
      <w:r w:rsidRPr="00BB0946">
        <w:rPr>
          <w:rFonts w:ascii="Palatino Linotype" w:eastAsia="Garamond" w:hAnsi="Palatino Linotype" w:cs="Garamond"/>
          <w:i/>
          <w:iCs/>
          <w:color w:val="000000"/>
          <w:sz w:val="21"/>
          <w:szCs w:val="21"/>
          <w:lang w:eastAsia="en-GB" w:bidi="en-GB"/>
        </w:rPr>
        <w:t>Werde</w:t>
      </w:r>
      <w:proofErr w:type="spellEnd"/>
      <w:r w:rsidRPr="00BB0946">
        <w:rPr>
          <w:rFonts w:ascii="Palatino Linotype" w:eastAsia="Garamond" w:hAnsi="Palatino Linotype" w:cs="Garamond"/>
          <w:i/>
          <w:iCs/>
          <w:color w:val="000000"/>
          <w:sz w:val="21"/>
          <w:szCs w:val="21"/>
          <w:lang w:eastAsia="en-GB" w:bidi="en-GB"/>
        </w:rPr>
        <w:t xml:space="preserve">, die du </w:t>
      </w:r>
      <w:proofErr w:type="spellStart"/>
      <w:r w:rsidRPr="00BB0946">
        <w:rPr>
          <w:rFonts w:ascii="Palatino Linotype" w:eastAsia="Garamond" w:hAnsi="Palatino Linotype" w:cs="Garamond"/>
          <w:i/>
          <w:iCs/>
          <w:color w:val="000000"/>
          <w:sz w:val="21"/>
          <w:szCs w:val="21"/>
          <w:lang w:eastAsia="en-GB" w:bidi="en-GB"/>
        </w:rPr>
        <w:t>bist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’, </w:t>
      </w:r>
      <w:r w:rsidRPr="00BB0946">
        <w:rPr>
          <w:rFonts w:ascii="Palatino Linotype" w:eastAsia="Garamond" w:hAnsi="Palatino Linotype" w:cs="Garamond"/>
          <w:i/>
          <w:iCs/>
          <w:color w:val="000000"/>
          <w:sz w:val="21"/>
          <w:szCs w:val="21"/>
          <w:lang w:eastAsia="en-GB" w:bidi="en-GB"/>
        </w:rPr>
        <w:t>Publications of the English Goethe Society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92 (2023) </w:t>
      </w:r>
    </w:p>
    <w:p w14:paraId="3F4A61C2" w14:textId="77777777" w:rsidR="00BB0946" w:rsidRPr="00BB0946" w:rsidRDefault="00BB0946" w:rsidP="00BB0946">
      <w:pPr>
        <w:spacing w:line="259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</w:p>
    <w:p w14:paraId="26629BEA" w14:textId="77777777" w:rsidR="00BB0946" w:rsidRPr="00BB0946" w:rsidRDefault="00BB0946" w:rsidP="00BB0946">
      <w:pPr>
        <w:spacing w:line="259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‘The emancipated woman on the margins of German modernism’, in </w:t>
      </w:r>
      <w:r w:rsidRPr="00BB0946">
        <w:rPr>
          <w:rFonts w:ascii="Palatino Linotype" w:eastAsia="Garamond" w:hAnsi="Palatino Linotype" w:cs="Garamond"/>
          <w:i/>
          <w:iCs/>
          <w:color w:val="000000"/>
          <w:sz w:val="21"/>
          <w:szCs w:val="21"/>
          <w:lang w:eastAsia="en-GB" w:bidi="en-GB"/>
        </w:rPr>
        <w:t>From the Enlightenment to Modernism: Three Centuries of German Literature. Essays for Ritchie Robertson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Carolin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Duttlinger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, K. F. Hilliard, and Charlie Louth (Cambridge: Legenda, 2022), pp. 166-80</w:t>
      </w:r>
    </w:p>
    <w:p w14:paraId="30041E59" w14:textId="77777777" w:rsidR="00BB0946" w:rsidRPr="00BB0946" w:rsidRDefault="00BB0946" w:rsidP="00BB0946">
      <w:pPr>
        <w:spacing w:line="259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</w:p>
    <w:p w14:paraId="290D1AF8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‘Katharina von Bora’. Published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Church Times,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26 April 2017  </w:t>
      </w:r>
    </w:p>
    <w:p w14:paraId="76D05F60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‘Biology, Desire, and a Longing for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Heimat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in Lou Andreas-Salomé’s Novel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Das Haus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(1921) and Her Essay ‘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Gedanken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über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das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Liebesproblem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’ (1900)’,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Biological Discourses: The Language of Science and Literature around 1900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Robert Craig and Ina Linge (Oxford: Peter Lang, 2017), pp. 189-209 </w:t>
      </w:r>
    </w:p>
    <w:p w14:paraId="32E7EA6D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‘Female Desire and the Mind-Body Binary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Fin de siècle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Fiction by Hedwig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Dohm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Lou Andreas-Salomé and Gabriele Reuter’,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German Life and Letters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69 (2016), 336-49 </w:t>
      </w:r>
    </w:p>
    <w:p w14:paraId="06191784" w14:textId="77777777" w:rsidR="00BB0946" w:rsidRPr="00BB0946" w:rsidRDefault="00BB0946" w:rsidP="00BB0946">
      <w:pPr>
        <w:spacing w:after="240" w:line="237" w:lineRule="auto"/>
        <w:ind w:right="1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 w:themeColor="text1"/>
          <w:sz w:val="21"/>
          <w:szCs w:val="21"/>
          <w:lang w:eastAsia="en-GB" w:bidi="en-GB"/>
        </w:rPr>
        <w:t>‘Women’s Autonomy and the German Novel Around 1900: Hidden Continuities and Generational Differences’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in ‘Fractured Legacies’, ed. Emily Spiers and Birgit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Mikus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Oxford German Studies,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45 (2016), 31-44 </w:t>
      </w:r>
    </w:p>
    <w:p w14:paraId="0BA7D41C" w14:textId="77777777" w:rsidR="00BB0946" w:rsidRPr="00BB0946" w:rsidRDefault="00BB0946" w:rsidP="00BB0946">
      <w:pPr>
        <w:spacing w:line="248" w:lineRule="auto"/>
        <w:ind w:left="-5" w:hanging="10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‘Birth Control and the Women’s Novel at the Start of the Twentieth Century’, in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Zwischen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Demontage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und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Sakralisierung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: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Revisionen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des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Familienmodells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in der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europäischen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Moderne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(1880–1945)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Christine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Kanz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and Frank Krause (Würzburg: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Königshausen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&amp; Neumann, 2015), pp. 135-50  </w:t>
      </w:r>
    </w:p>
    <w:p w14:paraId="4080EFA4" w14:textId="77777777" w:rsidR="00BB0946" w:rsidRPr="00BB0946" w:rsidRDefault="00BB0946" w:rsidP="00BB0946">
      <w:pPr>
        <w:spacing w:line="248" w:lineRule="auto"/>
        <w:ind w:left="-5" w:hanging="10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</w:p>
    <w:p w14:paraId="2D764CA2" w14:textId="77777777" w:rsidR="00BB0946" w:rsidRPr="00BB0946" w:rsidRDefault="00BB0946" w:rsidP="00BB0946">
      <w:pPr>
        <w:spacing w:after="230" w:line="247" w:lineRule="auto"/>
        <w:ind w:left="11" w:hanging="11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lastRenderedPageBreak/>
        <w:t xml:space="preserve">‘Protest in Women’s Fiction around 1900: Maria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Janitschek’s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Short Stories and Hedwig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Dohm’s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Christa Ruland’,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Protest and Reform in German Literature and Visual Culture 1871-1918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Godela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Weiss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-Sussex and Charlotte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Woodford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(Munich: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Iudicium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, 2015), pp. 152-67 </w:t>
      </w:r>
    </w:p>
    <w:p w14:paraId="2E66A577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</w:pP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>Das neue Lied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(1905);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>Der tote Gabriel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(1907); and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>Der Mörder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(1911),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>Schnitzler-Handbuch: Leben – Werk – Wirkung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,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ed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. Christoph Jürgensen, Wolfgang Lukas, Michael Scheffel (Stuttgart: Metzler, 2014), pp. 200-3; 205-7 </w:t>
      </w:r>
    </w:p>
    <w:p w14:paraId="32E68C11" w14:textId="77777777" w:rsidR="00BB0946" w:rsidRPr="00BB0946" w:rsidRDefault="00BB0946" w:rsidP="00BB0946">
      <w:pPr>
        <w:spacing w:after="1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(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With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Sarah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Colvin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) ‘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Introduction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: The Feminine in German Culture’, in ‘The Feminine in German </w:t>
      </w:r>
    </w:p>
    <w:p w14:paraId="519826BD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Culture’, ed. Sarah Colvin and Charlotte Woodford, Special Issue of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German Life and Letters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67 (2014), 45-54  </w:t>
      </w:r>
    </w:p>
    <w:p w14:paraId="55131433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‘Introduction’,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The Late Nineteenth-Century German Bestseller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Charlotte Woodford and Benedict Schofield (Rochester NY: Camden House, 2012), pp. 1-18 </w:t>
      </w:r>
    </w:p>
    <w:p w14:paraId="57FAC5D0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‘Bertha von Suttner’s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Die Waffen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nieder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!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and Gabriele Reuter’s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Aus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guter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Familie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: Sentimentality and Social Criticism’,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The Late Nineteenth-Century German Bestseller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Charlotte Woodford and Benedict Schofield (Rochester NY: Camden House, 2012), pp. 206-23 </w:t>
      </w:r>
    </w:p>
    <w:p w14:paraId="4A839BDF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‘Nineteenth-Century Sentimentality and its Discourse of Renunciation in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Marlitt’s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Goldelse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and Gabriele Reuter’s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Liselotte von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Reckling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German Women Writers of the Eighteenth and Nineteenth Centuries: Future Directions in Feminist Criticism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Helen Fronius and Anna Richards (London: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Legenda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, 2011), pp. 84-98  </w:t>
      </w:r>
    </w:p>
    <w:p w14:paraId="35FF95A6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‘“Eine Dichtung vom Dichter - ein Phantasiebild, aus Schauen, Erleben und Träumen zusammengefügt”: Gabriele Reuters Aufsatz über Marie von Ebner-Eschenbach’,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 xml:space="preserve">Die </w:t>
      </w:r>
      <w:proofErr w:type="gram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>Biographie</w:t>
      </w:r>
      <w:proofErr w:type="gram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 xml:space="preserve"> – Beiträge zu ihrer Geschichte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,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ed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.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Wilhelm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Hemecker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(Berlin: Walter de Gruyter, 2009), pp. 105-21  </w:t>
      </w:r>
    </w:p>
    <w:p w14:paraId="291CE0C4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‘Constructing women’s love of women: Sappho and Queen Christine of Sweden in the letters and work of the Viennese poet Marie von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Najmájer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’,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Modern Language Review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103 (2008), 784-99 </w:t>
      </w:r>
    </w:p>
    <w:p w14:paraId="53E7826A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‘Writing the Thirty Years’ War: Convent histories by Maria Anna Junius and Elisabeth Herold’,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Early Modern Female Monasticism: An interdisciplinary view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Cordula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van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Wyhe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(Aldershot: Ashgate, 2008), pp. 245-60 </w:t>
      </w:r>
    </w:p>
    <w:p w14:paraId="7382F3B9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‘Fontane’s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Effi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Briest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’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Landmarks in the German Novel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1, ed. Peter Hutchinson (Oxford: Peter Lang, 2007), pp. 83-98 </w:t>
      </w:r>
    </w:p>
    <w:p w14:paraId="01CCEA89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‘Marie von Ebner-Eschenbach’,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Landmarks in German Women’s Writing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Hilary Brown (Oxford: Peter Lang, 2007), pp. 91-106 </w:t>
      </w:r>
    </w:p>
    <w:p w14:paraId="2D4E33A8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‘Realism and sentimentalism in Marie von Ebner-Eschenbach’s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Unsühnbar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’,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Modern Language Review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101 (2006), 155-70 </w:t>
      </w:r>
    </w:p>
    <w:p w14:paraId="2C207C1E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‘Suffering and Domesticity: The Subversion of Sentimentalism in Three Stories by Marie von Ebner-Eschenbach’,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German Life and Letters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59 (2006), 47-61 </w:t>
      </w:r>
    </w:p>
    <w:p w14:paraId="75464B55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‘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Gryphius’s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 xml:space="preserve">Peter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Squentz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Landmarks in German Comedy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Peter Hutchinson (Oxford: Peter Lang, 2006), pp. 21-36 </w:t>
      </w:r>
    </w:p>
    <w:p w14:paraId="24C5042D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lastRenderedPageBreak/>
        <w:t xml:space="preserve">‘Convents and the history of nuns’,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Companion to Women’s Historical Writing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Mary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Spongberg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Barbara </w:t>
      </w:r>
      <w:proofErr w:type="gram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Caine</w:t>
      </w:r>
      <w:proofErr w:type="gram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and Ann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Curthoys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(Basingstoke: Palgrave, 2005), pp. 104-11 </w:t>
      </w:r>
    </w:p>
    <w:p w14:paraId="353DF569" w14:textId="77777777" w:rsidR="00BB0946" w:rsidRPr="00BB0946" w:rsidRDefault="00BB0946" w:rsidP="00BB0946">
      <w:pPr>
        <w:spacing w:after="240" w:line="238" w:lineRule="auto"/>
        <w:ind w:left="11" w:hanging="11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‘Contrasting Discourses of Nationalism in Historical Novels by Freytag and Fontane’,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German Literature, History, and the Nation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Christian Emden and David Midgley (Oxford: Peter Lang, 2004), pp. 253–76 ‘Kleist’s Michael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Kohlhaas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Landmarks in German Short Prose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ed. Peter Hutchinson (Oxford: Peter Lang, 2003), pp. 29-43 </w:t>
      </w:r>
    </w:p>
    <w:p w14:paraId="24FC866D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“Es </w:t>
      </w:r>
      <w:proofErr w:type="spellStart"/>
      <w:proofErr w:type="gram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werd</w:t>
      </w:r>
      <w:proofErr w:type="spellEnd"/>
      <w:proofErr w:type="gram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nu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wol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zeit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, das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si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wartet, was einem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frumen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ee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weib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zu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stund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”: Women’s Letters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from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the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Reformation’,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>Daphnis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, 30 (2001), 37-52 </w:t>
      </w:r>
    </w:p>
    <w:p w14:paraId="06BDCFCE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‘“Wir haben nicht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gewist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/ was wir vor </w:t>
      </w:r>
      <w:proofErr w:type="spellStart"/>
      <w:proofErr w:type="gram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angst</w:t>
      </w:r>
      <w:proofErr w:type="spellEnd"/>
      <w:proofErr w:type="gram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und schrecken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thun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sollen”: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Autobiographical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Writings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by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two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Nuns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from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the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 Thirty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Years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’ War’, in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 xml:space="preserve">Women’s </w:t>
      </w:r>
      <w:proofErr w:type="spellStart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>Autobiography</w:t>
      </w:r>
      <w:proofErr w:type="spellEnd"/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val="de-DE" w:eastAsia="en-GB" w:bidi="en-GB"/>
        </w:rPr>
        <w:t xml:space="preserve"> in German,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>ed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val="de-DE" w:eastAsia="en-GB" w:bidi="en-GB"/>
        </w:rPr>
        <w:t xml:space="preserve">.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Mererid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</w:t>
      </w:r>
      <w:proofErr w:type="spellStart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>Puw</w:t>
      </w:r>
      <w:proofErr w:type="spellEnd"/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Davies, Beth Linklater and Gisela Shaw (Frankfurt am Main: Peter Lang, 2000), pp. 53-67 </w:t>
      </w:r>
    </w:p>
    <w:p w14:paraId="3AD9BAE6" w14:textId="77777777" w:rsidR="00BB0946" w:rsidRPr="00BB0946" w:rsidRDefault="00BB0946" w:rsidP="00BB0946">
      <w:pPr>
        <w:spacing w:after="230" w:line="248" w:lineRule="auto"/>
        <w:ind w:left="-5" w:hanging="10"/>
        <w:jc w:val="both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‘Women as Historians: The Case of Early Modern German Convents’, </w:t>
      </w:r>
      <w:r w:rsidRPr="00BB0946">
        <w:rPr>
          <w:rFonts w:ascii="Palatino Linotype" w:eastAsia="Garamond" w:hAnsi="Palatino Linotype" w:cs="Garamond"/>
          <w:i/>
          <w:color w:val="000000"/>
          <w:sz w:val="21"/>
          <w:szCs w:val="21"/>
          <w:lang w:eastAsia="en-GB" w:bidi="en-GB"/>
        </w:rPr>
        <w:t>German Life and Letters</w:t>
      </w: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, 52 (1999), 271-280 </w:t>
      </w:r>
    </w:p>
    <w:p w14:paraId="4DE3D1B6" w14:textId="77777777" w:rsidR="00BB0946" w:rsidRPr="00BB0946" w:rsidRDefault="00BB0946" w:rsidP="00BB0946">
      <w:pPr>
        <w:spacing w:after="217" w:line="259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</w:t>
      </w:r>
    </w:p>
    <w:p w14:paraId="37F109E3" w14:textId="77777777" w:rsidR="00BB0946" w:rsidRPr="00BB0946" w:rsidRDefault="00BB0946" w:rsidP="00BB0946">
      <w:pPr>
        <w:spacing w:line="259" w:lineRule="auto"/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</w:pPr>
      <w:r w:rsidRPr="00BB0946">
        <w:rPr>
          <w:rFonts w:ascii="Palatino Linotype" w:eastAsia="Garamond" w:hAnsi="Palatino Linotype" w:cs="Garamond"/>
          <w:color w:val="000000"/>
          <w:sz w:val="21"/>
          <w:szCs w:val="21"/>
          <w:lang w:eastAsia="en-GB" w:bidi="en-GB"/>
        </w:rPr>
        <w:t xml:space="preserve"> </w:t>
      </w:r>
    </w:p>
    <w:p w14:paraId="066B52F4" w14:textId="77777777" w:rsidR="00AB2ED3" w:rsidRDefault="00000000"/>
    <w:sectPr w:rsidR="00AB2ED3">
      <w:headerReference w:type="default" r:id="rId4"/>
      <w:pgSz w:w="11906" w:h="16838"/>
      <w:pgMar w:top="1486" w:right="1435" w:bottom="15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09FB" w14:textId="77777777" w:rsidR="00154E37" w:rsidRPr="00154E37" w:rsidRDefault="00000000" w:rsidP="00154E37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46"/>
    <w:rsid w:val="003E65FA"/>
    <w:rsid w:val="004B4FD1"/>
    <w:rsid w:val="00BA144A"/>
    <w:rsid w:val="00BB0946"/>
    <w:rsid w:val="00D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468B2"/>
  <w15:chartTrackingRefBased/>
  <w15:docId w15:val="{3BF20E83-174D-694A-8C4C-D6592BD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0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Woodford</dc:creator>
  <cp:keywords/>
  <dc:description/>
  <cp:lastModifiedBy>Charlotte Woodford</cp:lastModifiedBy>
  <cp:revision>1</cp:revision>
  <dcterms:created xsi:type="dcterms:W3CDTF">2023-09-16T15:32:00Z</dcterms:created>
  <dcterms:modified xsi:type="dcterms:W3CDTF">2023-09-16T15:34:00Z</dcterms:modified>
</cp:coreProperties>
</file>