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802D" w14:textId="424C78E4" w:rsidR="00BB0946" w:rsidRDefault="00BB0946" w:rsidP="00BB0946">
      <w:pPr>
        <w:spacing w:line="259" w:lineRule="auto"/>
        <w:ind w:left="10" w:right="2" w:hanging="10"/>
        <w:jc w:val="center"/>
        <w:rPr>
          <w:rFonts w:ascii="Palatino Linotype" w:eastAsia="Garamond" w:hAnsi="Palatino Linotype" w:cs="Garamond"/>
          <w:b/>
          <w:color w:val="000000"/>
          <w:sz w:val="21"/>
          <w:szCs w:val="21"/>
          <w:lang w:eastAsia="en-GB" w:bidi="en-GB"/>
        </w:rPr>
      </w:pPr>
      <w:r>
        <w:rPr>
          <w:rFonts w:ascii="Palatino Linotype" w:eastAsia="Garamond" w:hAnsi="Palatino Linotype" w:cs="Garamond"/>
          <w:b/>
          <w:color w:val="000000"/>
          <w:sz w:val="21"/>
          <w:szCs w:val="21"/>
          <w:lang w:eastAsia="en-GB" w:bidi="en-GB"/>
        </w:rPr>
        <w:t xml:space="preserve">Dr Charlotte Woodford </w:t>
      </w:r>
    </w:p>
    <w:p w14:paraId="771D1C04" w14:textId="389DBE5A" w:rsidR="00BB0946" w:rsidRPr="00BB0946" w:rsidRDefault="00BB0946" w:rsidP="00BB0946">
      <w:pPr>
        <w:spacing w:line="259" w:lineRule="auto"/>
        <w:ind w:left="10" w:right="2" w:hanging="10"/>
        <w:jc w:val="center"/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</w:pPr>
      <w:r>
        <w:rPr>
          <w:rFonts w:ascii="Palatino Linotype" w:eastAsia="Garamond" w:hAnsi="Palatino Linotype" w:cs="Garamond"/>
          <w:b/>
          <w:color w:val="000000"/>
          <w:sz w:val="21"/>
          <w:szCs w:val="21"/>
          <w:lang w:eastAsia="en-GB" w:bidi="en-GB"/>
        </w:rPr>
        <w:t xml:space="preserve">LIST OF </w:t>
      </w:r>
      <w:r w:rsidRPr="00BB0946">
        <w:rPr>
          <w:rFonts w:ascii="Palatino Linotype" w:eastAsia="Garamond" w:hAnsi="Palatino Linotype" w:cs="Garamond"/>
          <w:b/>
          <w:color w:val="000000"/>
          <w:sz w:val="21"/>
          <w:szCs w:val="21"/>
          <w:lang w:eastAsia="en-GB" w:bidi="en-GB"/>
        </w:rPr>
        <w:t xml:space="preserve">PUBLICATIONS </w:t>
      </w:r>
    </w:p>
    <w:p w14:paraId="32C8B4CC" w14:textId="77777777" w:rsidR="00BB0946" w:rsidRPr="00BB0946" w:rsidRDefault="00BB0946" w:rsidP="00BB0946">
      <w:pPr>
        <w:spacing w:line="259" w:lineRule="auto"/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</w:pPr>
      <w:r w:rsidRPr="00BB0946">
        <w:rPr>
          <w:rFonts w:ascii="Palatino Linotype" w:eastAsia="Garamond" w:hAnsi="Palatino Linotype" w:cs="Garamond"/>
          <w:b/>
          <w:color w:val="000000"/>
          <w:sz w:val="21"/>
          <w:szCs w:val="21"/>
          <w:lang w:eastAsia="en-GB" w:bidi="en-GB"/>
        </w:rPr>
        <w:t xml:space="preserve"> </w:t>
      </w:r>
    </w:p>
    <w:p w14:paraId="58CCCCF3" w14:textId="77777777" w:rsidR="00BB0946" w:rsidRPr="00BB0946" w:rsidRDefault="00BB0946" w:rsidP="00BB0946">
      <w:pPr>
        <w:keepNext/>
        <w:keepLines/>
        <w:pBdr>
          <w:bottom w:val="single" w:sz="12" w:space="1" w:color="auto"/>
        </w:pBdr>
        <w:spacing w:line="259" w:lineRule="auto"/>
        <w:ind w:left="-5" w:hanging="10"/>
        <w:outlineLvl w:val="0"/>
        <w:rPr>
          <w:rFonts w:ascii="Palatino Linotype" w:eastAsia="Garamond" w:hAnsi="Palatino Linotype" w:cs="Garamond"/>
          <w:color w:val="000000"/>
          <w:sz w:val="21"/>
          <w:szCs w:val="21"/>
          <w:lang w:eastAsia="en-GB"/>
        </w:rPr>
      </w:pPr>
      <w:r w:rsidRPr="00BB0946">
        <w:rPr>
          <w:rFonts w:ascii="Palatino Linotype" w:eastAsia="Garamond" w:hAnsi="Palatino Linotype" w:cs="Garamond"/>
          <w:b/>
          <w:color w:val="000000"/>
          <w:sz w:val="21"/>
          <w:szCs w:val="21"/>
          <w:lang w:eastAsia="en-GB"/>
        </w:rPr>
        <w:t>BOOKS</w:t>
      </w: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/>
        </w:rPr>
        <w:t xml:space="preserve"> </w:t>
      </w:r>
    </w:p>
    <w:p w14:paraId="43DF741F" w14:textId="77777777" w:rsidR="00BB0946" w:rsidRPr="00BB0946" w:rsidRDefault="00BB0946" w:rsidP="00BB0946">
      <w:pPr>
        <w:spacing w:line="259" w:lineRule="auto"/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</w:pPr>
    </w:p>
    <w:p w14:paraId="59FF9B3C" w14:textId="77777777" w:rsidR="00BB0946" w:rsidRPr="00BB0946" w:rsidRDefault="00BB0946" w:rsidP="00BB0946">
      <w:pPr>
        <w:spacing w:after="230" w:line="248" w:lineRule="auto"/>
        <w:ind w:left="-5" w:hanging="10"/>
        <w:jc w:val="both"/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</w:pPr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eastAsia="en-GB" w:bidi="en-GB"/>
        </w:rPr>
        <w:t>Protest and Reform in German Literary and Visual Culture 1871-1918</w:t>
      </w: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, ed. with </w:t>
      </w:r>
      <w:proofErr w:type="spellStart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>Godela</w:t>
      </w:r>
      <w:proofErr w:type="spellEnd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 Weiss-Sussex (Munich: </w:t>
      </w:r>
      <w:proofErr w:type="spellStart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>Iudicium</w:t>
      </w:r>
      <w:proofErr w:type="spellEnd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, 2015) </w:t>
      </w:r>
    </w:p>
    <w:p w14:paraId="3DF33253" w14:textId="77777777" w:rsidR="00BB0946" w:rsidRPr="00BB0946" w:rsidRDefault="00BB0946" w:rsidP="00BB0946">
      <w:pPr>
        <w:spacing w:after="230" w:line="248" w:lineRule="auto"/>
        <w:ind w:left="-5" w:hanging="10"/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</w:pPr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eastAsia="en-GB" w:bidi="en-GB"/>
        </w:rPr>
        <w:t xml:space="preserve">Women, </w:t>
      </w:r>
      <w:proofErr w:type="gramStart"/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eastAsia="en-GB" w:bidi="en-GB"/>
        </w:rPr>
        <w:t>Emancipation</w:t>
      </w:r>
      <w:proofErr w:type="gramEnd"/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eastAsia="en-GB" w:bidi="en-GB"/>
        </w:rPr>
        <w:t xml:space="preserve"> and the German Novel 1871-1910: Protest Fiction in its Cultural Context</w:t>
      </w: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 (Oxford: Legenda, 2014)  </w:t>
      </w:r>
    </w:p>
    <w:p w14:paraId="35DE78B6" w14:textId="77777777" w:rsidR="00BB0946" w:rsidRPr="00BB0946" w:rsidRDefault="00BB0946" w:rsidP="00BB0946">
      <w:pPr>
        <w:spacing w:after="100" w:afterAutospacing="1" w:line="247" w:lineRule="auto"/>
        <w:ind w:left="-5" w:hanging="10"/>
        <w:jc w:val="both"/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</w:pPr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eastAsia="en-GB" w:bidi="en-GB"/>
        </w:rPr>
        <w:t>The Late Nineteenth-Century German Bestseller</w:t>
      </w: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, ed. with Benedict Schofield (Rochester NY: Camden House, 2012) </w:t>
      </w:r>
    </w:p>
    <w:p w14:paraId="00F6346B" w14:textId="49B3F797" w:rsidR="00BB0946" w:rsidRPr="00BB0946" w:rsidRDefault="00BB0946" w:rsidP="00BB0946">
      <w:pPr>
        <w:spacing w:after="100" w:afterAutospacing="1" w:line="247" w:lineRule="auto"/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</w:pPr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eastAsia="en-GB" w:bidi="en-GB"/>
        </w:rPr>
        <w:t xml:space="preserve">Nuns as Historians in Early Modern Germany </w:t>
      </w: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(Oxford: OUP, 2002) </w:t>
      </w:r>
    </w:p>
    <w:p w14:paraId="0045AC57" w14:textId="77777777" w:rsidR="00BB0946" w:rsidRPr="00BB0946" w:rsidRDefault="00BB0946" w:rsidP="00BB0946">
      <w:pPr>
        <w:keepNext/>
        <w:keepLines/>
        <w:pBdr>
          <w:bottom w:val="single" w:sz="12" w:space="1" w:color="auto"/>
        </w:pBdr>
        <w:spacing w:after="217" w:line="259" w:lineRule="auto"/>
        <w:ind w:left="-5" w:hanging="10"/>
        <w:outlineLvl w:val="0"/>
        <w:rPr>
          <w:rFonts w:ascii="Palatino Linotype" w:eastAsia="Garamond" w:hAnsi="Palatino Linotype" w:cs="Garamond"/>
          <w:b/>
          <w:color w:val="000000"/>
          <w:sz w:val="21"/>
          <w:szCs w:val="21"/>
          <w:lang w:val="de-DE" w:eastAsia="en-GB"/>
        </w:rPr>
      </w:pPr>
      <w:r w:rsidRPr="00BB0946">
        <w:rPr>
          <w:rFonts w:ascii="Palatino Linotype" w:eastAsia="Garamond" w:hAnsi="Palatino Linotype" w:cs="Garamond"/>
          <w:b/>
          <w:color w:val="000000"/>
          <w:sz w:val="21"/>
          <w:szCs w:val="21"/>
          <w:lang w:val="de-DE" w:eastAsia="en-GB"/>
        </w:rPr>
        <w:t xml:space="preserve">ARTICLES/CHAPTERS </w:t>
      </w:r>
    </w:p>
    <w:p w14:paraId="0BF13351" w14:textId="77777777" w:rsidR="00BB0946" w:rsidRPr="00BB0946" w:rsidRDefault="00BB0946" w:rsidP="00BB0946">
      <w:pPr>
        <w:spacing w:line="259" w:lineRule="auto"/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</w:pP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 xml:space="preserve">‘“Wir hätten keine Zukunft mehr?“’ </w:t>
      </w: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Hedwig </w:t>
      </w:r>
      <w:proofErr w:type="spellStart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>Dohm’s</w:t>
      </w:r>
      <w:proofErr w:type="spellEnd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 Future-Orientated Ideas of Aging in Feminist Writings from the 1900s and Her Short Story </w:t>
      </w:r>
      <w:proofErr w:type="spellStart"/>
      <w:r w:rsidRPr="00BB0946">
        <w:rPr>
          <w:rFonts w:ascii="Palatino Linotype" w:eastAsia="Garamond" w:hAnsi="Palatino Linotype" w:cs="Garamond"/>
          <w:i/>
          <w:iCs/>
          <w:color w:val="000000"/>
          <w:sz w:val="21"/>
          <w:szCs w:val="21"/>
          <w:lang w:eastAsia="en-GB" w:bidi="en-GB"/>
        </w:rPr>
        <w:t>Werde</w:t>
      </w:r>
      <w:proofErr w:type="spellEnd"/>
      <w:r w:rsidRPr="00BB0946">
        <w:rPr>
          <w:rFonts w:ascii="Palatino Linotype" w:eastAsia="Garamond" w:hAnsi="Palatino Linotype" w:cs="Garamond"/>
          <w:i/>
          <w:iCs/>
          <w:color w:val="000000"/>
          <w:sz w:val="21"/>
          <w:szCs w:val="21"/>
          <w:lang w:eastAsia="en-GB" w:bidi="en-GB"/>
        </w:rPr>
        <w:t xml:space="preserve">, die du </w:t>
      </w:r>
      <w:proofErr w:type="spellStart"/>
      <w:r w:rsidRPr="00BB0946">
        <w:rPr>
          <w:rFonts w:ascii="Palatino Linotype" w:eastAsia="Garamond" w:hAnsi="Palatino Linotype" w:cs="Garamond"/>
          <w:i/>
          <w:iCs/>
          <w:color w:val="000000"/>
          <w:sz w:val="21"/>
          <w:szCs w:val="21"/>
          <w:lang w:eastAsia="en-GB" w:bidi="en-GB"/>
        </w:rPr>
        <w:t>bist</w:t>
      </w:r>
      <w:proofErr w:type="spellEnd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’, </w:t>
      </w:r>
      <w:r w:rsidRPr="00BB0946">
        <w:rPr>
          <w:rFonts w:ascii="Palatino Linotype" w:eastAsia="Garamond" w:hAnsi="Palatino Linotype" w:cs="Garamond"/>
          <w:i/>
          <w:iCs/>
          <w:color w:val="000000"/>
          <w:sz w:val="21"/>
          <w:szCs w:val="21"/>
          <w:lang w:eastAsia="en-GB" w:bidi="en-GB"/>
        </w:rPr>
        <w:t>Publications of the English Goethe Society</w:t>
      </w: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, 92 (2023) </w:t>
      </w:r>
    </w:p>
    <w:p w14:paraId="3F4A61C2" w14:textId="77777777" w:rsidR="00BB0946" w:rsidRPr="00BB0946" w:rsidRDefault="00BB0946" w:rsidP="00BB0946">
      <w:pPr>
        <w:spacing w:line="259" w:lineRule="auto"/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</w:pPr>
    </w:p>
    <w:p w14:paraId="26629BEA" w14:textId="77777777" w:rsidR="00BB0946" w:rsidRPr="00BB0946" w:rsidRDefault="00BB0946" w:rsidP="00BB0946">
      <w:pPr>
        <w:spacing w:line="259" w:lineRule="auto"/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</w:pP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‘The emancipated woman on the margins of German modernism’, in </w:t>
      </w:r>
      <w:r w:rsidRPr="00BB0946">
        <w:rPr>
          <w:rFonts w:ascii="Palatino Linotype" w:eastAsia="Garamond" w:hAnsi="Palatino Linotype" w:cs="Garamond"/>
          <w:i/>
          <w:iCs/>
          <w:color w:val="000000"/>
          <w:sz w:val="21"/>
          <w:szCs w:val="21"/>
          <w:lang w:eastAsia="en-GB" w:bidi="en-GB"/>
        </w:rPr>
        <w:t>From the Enlightenment to Modernism: Three Centuries of German Literature. Essays for Ritchie Robertson</w:t>
      </w: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, ed. </w:t>
      </w:r>
      <w:proofErr w:type="spellStart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>Carolin</w:t>
      </w:r>
      <w:proofErr w:type="spellEnd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 </w:t>
      </w:r>
      <w:proofErr w:type="spellStart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>Duttlinger</w:t>
      </w:r>
      <w:proofErr w:type="spellEnd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>, K. F. Hilliard, and Charlie Louth (Cambridge: Legenda, 2022), pp. 166-80</w:t>
      </w:r>
    </w:p>
    <w:p w14:paraId="30041E59" w14:textId="77777777" w:rsidR="00BB0946" w:rsidRPr="00BB0946" w:rsidRDefault="00BB0946" w:rsidP="00BB0946">
      <w:pPr>
        <w:spacing w:line="259" w:lineRule="auto"/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</w:pPr>
    </w:p>
    <w:p w14:paraId="290D1AF8" w14:textId="77777777" w:rsidR="00BB0946" w:rsidRPr="00BB0946" w:rsidRDefault="00BB0946" w:rsidP="00BB0946">
      <w:pPr>
        <w:spacing w:after="230" w:line="248" w:lineRule="auto"/>
        <w:ind w:left="-5" w:hanging="10"/>
        <w:jc w:val="both"/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</w:pP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‘Katharina von Bora’. Published in </w:t>
      </w:r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eastAsia="en-GB" w:bidi="en-GB"/>
        </w:rPr>
        <w:t xml:space="preserve">Church Times, </w:t>
      </w: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26 April 2017  </w:t>
      </w:r>
    </w:p>
    <w:p w14:paraId="76D05F60" w14:textId="77777777" w:rsidR="00BB0946" w:rsidRPr="00BB0946" w:rsidRDefault="00BB0946" w:rsidP="00BB0946">
      <w:pPr>
        <w:spacing w:after="230" w:line="248" w:lineRule="auto"/>
        <w:ind w:left="-5" w:hanging="10"/>
        <w:jc w:val="both"/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</w:pP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‘Biology, Desire, and a Longing for </w:t>
      </w:r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eastAsia="en-GB" w:bidi="en-GB"/>
        </w:rPr>
        <w:t xml:space="preserve">Heimat </w:t>
      </w: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in Lou Andreas-Salomé’s Novel </w:t>
      </w:r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eastAsia="en-GB" w:bidi="en-GB"/>
        </w:rPr>
        <w:t xml:space="preserve">Das Haus </w:t>
      </w: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>(1921) and Her Essay ‘</w:t>
      </w:r>
      <w:proofErr w:type="spellStart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>Gedanken</w:t>
      </w:r>
      <w:proofErr w:type="spellEnd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 </w:t>
      </w:r>
      <w:proofErr w:type="spellStart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>über</w:t>
      </w:r>
      <w:proofErr w:type="spellEnd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 das </w:t>
      </w:r>
      <w:proofErr w:type="spellStart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>Liebesproblem</w:t>
      </w:r>
      <w:proofErr w:type="spellEnd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’ (1900)’, in </w:t>
      </w:r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eastAsia="en-GB" w:bidi="en-GB"/>
        </w:rPr>
        <w:t>Biological Discourses: The Language of Science and Literature around 1900</w:t>
      </w: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, ed. Robert Craig and Ina Linge (Oxford: Peter Lang, 2017), pp. 189-209 </w:t>
      </w:r>
    </w:p>
    <w:p w14:paraId="32E7EA6D" w14:textId="77777777" w:rsidR="00BB0946" w:rsidRPr="00BB0946" w:rsidRDefault="00BB0946" w:rsidP="00BB0946">
      <w:pPr>
        <w:spacing w:after="230" w:line="248" w:lineRule="auto"/>
        <w:ind w:left="-5" w:hanging="10"/>
        <w:jc w:val="both"/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</w:pP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‘Female Desire and the Mind-Body Binary in </w:t>
      </w:r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eastAsia="en-GB" w:bidi="en-GB"/>
        </w:rPr>
        <w:t xml:space="preserve">Fin de siècle </w:t>
      </w: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Fiction by Hedwig </w:t>
      </w:r>
      <w:proofErr w:type="spellStart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>Dohm</w:t>
      </w:r>
      <w:proofErr w:type="spellEnd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, Lou Andreas-Salomé and Gabriele Reuter’, </w:t>
      </w:r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eastAsia="en-GB" w:bidi="en-GB"/>
        </w:rPr>
        <w:t>German Life and Letters</w:t>
      </w: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, 69 (2016), 336-49 </w:t>
      </w:r>
    </w:p>
    <w:p w14:paraId="06191784" w14:textId="77777777" w:rsidR="00BB0946" w:rsidRPr="00BB0946" w:rsidRDefault="00BB0946" w:rsidP="00BB0946">
      <w:pPr>
        <w:spacing w:after="240" w:line="237" w:lineRule="auto"/>
        <w:ind w:right="1"/>
        <w:jc w:val="both"/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</w:pPr>
      <w:r w:rsidRPr="00BB0946">
        <w:rPr>
          <w:rFonts w:ascii="Palatino Linotype" w:eastAsia="Garamond" w:hAnsi="Palatino Linotype" w:cs="Garamond"/>
          <w:color w:val="000000" w:themeColor="text1"/>
          <w:sz w:val="21"/>
          <w:szCs w:val="21"/>
          <w:lang w:eastAsia="en-GB" w:bidi="en-GB"/>
        </w:rPr>
        <w:t>‘Women’s Autonomy and the German Novel Around 1900: Hidden Continuities and Generational Differences’</w:t>
      </w: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, in ‘Fractured Legacies’, ed. Emily Spiers and Birgit </w:t>
      </w:r>
      <w:proofErr w:type="spellStart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>Mikus</w:t>
      </w:r>
      <w:proofErr w:type="spellEnd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, </w:t>
      </w:r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eastAsia="en-GB" w:bidi="en-GB"/>
        </w:rPr>
        <w:t xml:space="preserve">Oxford German Studies, </w:t>
      </w: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45 (2016), 31-44 </w:t>
      </w:r>
    </w:p>
    <w:p w14:paraId="0BA7D41C" w14:textId="77777777" w:rsidR="00BB0946" w:rsidRPr="00BB0946" w:rsidRDefault="00BB0946" w:rsidP="00BB0946">
      <w:pPr>
        <w:spacing w:line="248" w:lineRule="auto"/>
        <w:ind w:left="-5" w:hanging="10"/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</w:pP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‘Birth Control and the Women’s Novel at the Start of the Twentieth Century’, in </w:t>
      </w:r>
      <w:proofErr w:type="spellStart"/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eastAsia="en-GB" w:bidi="en-GB"/>
        </w:rPr>
        <w:t>Zwischen</w:t>
      </w:r>
      <w:proofErr w:type="spellEnd"/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eastAsia="en-GB" w:bidi="en-GB"/>
        </w:rPr>
        <w:t xml:space="preserve"> </w:t>
      </w:r>
      <w:proofErr w:type="spellStart"/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eastAsia="en-GB" w:bidi="en-GB"/>
        </w:rPr>
        <w:t>Demontage</w:t>
      </w:r>
      <w:proofErr w:type="spellEnd"/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eastAsia="en-GB" w:bidi="en-GB"/>
        </w:rPr>
        <w:t xml:space="preserve"> und </w:t>
      </w:r>
      <w:proofErr w:type="spellStart"/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eastAsia="en-GB" w:bidi="en-GB"/>
        </w:rPr>
        <w:t>Sakralisierung</w:t>
      </w:r>
      <w:proofErr w:type="spellEnd"/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eastAsia="en-GB" w:bidi="en-GB"/>
        </w:rPr>
        <w:t xml:space="preserve">: </w:t>
      </w:r>
      <w:proofErr w:type="spellStart"/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eastAsia="en-GB" w:bidi="en-GB"/>
        </w:rPr>
        <w:t>Revisionen</w:t>
      </w:r>
      <w:proofErr w:type="spellEnd"/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eastAsia="en-GB" w:bidi="en-GB"/>
        </w:rPr>
        <w:t xml:space="preserve"> des </w:t>
      </w:r>
      <w:proofErr w:type="spellStart"/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eastAsia="en-GB" w:bidi="en-GB"/>
        </w:rPr>
        <w:t>Familienmodells</w:t>
      </w:r>
      <w:proofErr w:type="spellEnd"/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eastAsia="en-GB" w:bidi="en-GB"/>
        </w:rPr>
        <w:t xml:space="preserve"> in der </w:t>
      </w:r>
      <w:proofErr w:type="spellStart"/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eastAsia="en-GB" w:bidi="en-GB"/>
        </w:rPr>
        <w:t>europäischen</w:t>
      </w:r>
      <w:proofErr w:type="spellEnd"/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eastAsia="en-GB" w:bidi="en-GB"/>
        </w:rPr>
        <w:t xml:space="preserve"> </w:t>
      </w:r>
      <w:proofErr w:type="spellStart"/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eastAsia="en-GB" w:bidi="en-GB"/>
        </w:rPr>
        <w:t>Moderne</w:t>
      </w:r>
      <w:proofErr w:type="spellEnd"/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eastAsia="en-GB" w:bidi="en-GB"/>
        </w:rPr>
        <w:t xml:space="preserve"> (1880–1945)</w:t>
      </w: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, ed. Christine </w:t>
      </w:r>
      <w:proofErr w:type="spellStart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>Kanz</w:t>
      </w:r>
      <w:proofErr w:type="spellEnd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 and Frank Krause (Würzburg: </w:t>
      </w:r>
      <w:proofErr w:type="spellStart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>Königshausen</w:t>
      </w:r>
      <w:proofErr w:type="spellEnd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 &amp; Neumann, 2015), pp. 135-50  </w:t>
      </w:r>
    </w:p>
    <w:p w14:paraId="4080EFA4" w14:textId="77777777" w:rsidR="00BB0946" w:rsidRPr="00BB0946" w:rsidRDefault="00BB0946" w:rsidP="00BB0946">
      <w:pPr>
        <w:spacing w:line="248" w:lineRule="auto"/>
        <w:ind w:left="-5" w:hanging="10"/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</w:pPr>
    </w:p>
    <w:p w14:paraId="2D764CA2" w14:textId="77777777" w:rsidR="00BB0946" w:rsidRPr="00BB0946" w:rsidRDefault="00BB0946" w:rsidP="00BB0946">
      <w:pPr>
        <w:spacing w:after="230" w:line="247" w:lineRule="auto"/>
        <w:ind w:left="11" w:hanging="11"/>
        <w:jc w:val="both"/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</w:pP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lastRenderedPageBreak/>
        <w:t xml:space="preserve">‘Protest in Women’s Fiction around 1900: Maria </w:t>
      </w:r>
      <w:proofErr w:type="spellStart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>Janitschek’s</w:t>
      </w:r>
      <w:proofErr w:type="spellEnd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 Short Stories and Hedwig </w:t>
      </w:r>
      <w:proofErr w:type="spellStart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>Dohm’s</w:t>
      </w:r>
      <w:proofErr w:type="spellEnd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 Christa Ruland’, in </w:t>
      </w:r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eastAsia="en-GB" w:bidi="en-GB"/>
        </w:rPr>
        <w:t>Protest and Reform in German Literature and Visual Culture 1871-1918</w:t>
      </w: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, ed. </w:t>
      </w:r>
      <w:proofErr w:type="spellStart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>Godela</w:t>
      </w:r>
      <w:proofErr w:type="spellEnd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 xml:space="preserve"> </w:t>
      </w:r>
      <w:proofErr w:type="spellStart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>Weiss</w:t>
      </w:r>
      <w:proofErr w:type="spellEnd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 xml:space="preserve">-Sussex and Charlotte </w:t>
      </w:r>
      <w:proofErr w:type="spellStart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>Woodford</w:t>
      </w:r>
      <w:proofErr w:type="spellEnd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 xml:space="preserve"> (Munich: </w:t>
      </w:r>
      <w:proofErr w:type="spellStart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>Iudicium</w:t>
      </w:r>
      <w:proofErr w:type="spellEnd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 xml:space="preserve">, 2015), pp. 152-67 </w:t>
      </w:r>
    </w:p>
    <w:p w14:paraId="2E66A577" w14:textId="77777777" w:rsidR="00BB0946" w:rsidRPr="00BB0946" w:rsidRDefault="00BB0946" w:rsidP="00BB0946">
      <w:pPr>
        <w:spacing w:after="230" w:line="248" w:lineRule="auto"/>
        <w:ind w:left="-5" w:hanging="10"/>
        <w:jc w:val="both"/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</w:pPr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val="de-DE" w:eastAsia="en-GB" w:bidi="en-GB"/>
        </w:rPr>
        <w:t>Das neue Lied</w:t>
      </w: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 xml:space="preserve"> (1905); </w:t>
      </w:r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val="de-DE" w:eastAsia="en-GB" w:bidi="en-GB"/>
        </w:rPr>
        <w:t>Der tote Gabriel</w:t>
      </w: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 xml:space="preserve"> (1907); and </w:t>
      </w:r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val="de-DE" w:eastAsia="en-GB" w:bidi="en-GB"/>
        </w:rPr>
        <w:t>Der Mörder</w:t>
      </w: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 xml:space="preserve"> (1911), in </w:t>
      </w:r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val="de-DE" w:eastAsia="en-GB" w:bidi="en-GB"/>
        </w:rPr>
        <w:t>Schnitzler-Handbuch: Leben – Werk – Wirkung</w:t>
      </w: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 xml:space="preserve">, </w:t>
      </w:r>
      <w:proofErr w:type="spellStart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>ed</w:t>
      </w:r>
      <w:proofErr w:type="spellEnd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 xml:space="preserve">. Christoph Jürgensen, Wolfgang Lukas, Michael Scheffel (Stuttgart: Metzler, 2014), pp. 200-3; 205-7 </w:t>
      </w:r>
    </w:p>
    <w:p w14:paraId="32E68C11" w14:textId="77777777" w:rsidR="00BB0946" w:rsidRPr="00BB0946" w:rsidRDefault="00BB0946" w:rsidP="00BB0946">
      <w:pPr>
        <w:spacing w:after="10" w:line="248" w:lineRule="auto"/>
        <w:ind w:left="-5" w:hanging="10"/>
        <w:jc w:val="both"/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</w:pP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>(</w:t>
      </w:r>
      <w:proofErr w:type="spellStart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>With</w:t>
      </w:r>
      <w:proofErr w:type="spellEnd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 xml:space="preserve"> Sarah </w:t>
      </w:r>
      <w:proofErr w:type="spellStart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>Colvin</w:t>
      </w:r>
      <w:proofErr w:type="spellEnd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>) ‘</w:t>
      </w:r>
      <w:proofErr w:type="spellStart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>Introduction</w:t>
      </w:r>
      <w:proofErr w:type="spellEnd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 xml:space="preserve">: The Feminine in German Culture’, in ‘The Feminine in German </w:t>
      </w:r>
    </w:p>
    <w:p w14:paraId="519826BD" w14:textId="77777777" w:rsidR="00BB0946" w:rsidRPr="00BB0946" w:rsidRDefault="00BB0946" w:rsidP="00BB0946">
      <w:pPr>
        <w:spacing w:after="230" w:line="248" w:lineRule="auto"/>
        <w:ind w:left="-5" w:hanging="10"/>
        <w:jc w:val="both"/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</w:pP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Culture’, ed. Sarah Colvin and Charlotte Woodford, Special Issue of </w:t>
      </w:r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eastAsia="en-GB" w:bidi="en-GB"/>
        </w:rPr>
        <w:t>German Life and Letters</w:t>
      </w: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, 67 (2014), 45-54  </w:t>
      </w:r>
    </w:p>
    <w:p w14:paraId="55131433" w14:textId="77777777" w:rsidR="00BB0946" w:rsidRPr="00BB0946" w:rsidRDefault="00BB0946" w:rsidP="00BB0946">
      <w:pPr>
        <w:spacing w:after="230" w:line="248" w:lineRule="auto"/>
        <w:ind w:left="-5" w:hanging="10"/>
        <w:jc w:val="both"/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</w:pP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‘Introduction’, in </w:t>
      </w:r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eastAsia="en-GB" w:bidi="en-GB"/>
        </w:rPr>
        <w:t>The Late Nineteenth-Century German Bestseller</w:t>
      </w: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, ed. Charlotte Woodford and Benedict Schofield (Rochester NY: Camden House, 2012), pp. 1-18 </w:t>
      </w:r>
    </w:p>
    <w:p w14:paraId="57FAC5D0" w14:textId="77777777" w:rsidR="00BB0946" w:rsidRPr="00BB0946" w:rsidRDefault="00BB0946" w:rsidP="00BB0946">
      <w:pPr>
        <w:spacing w:after="230" w:line="248" w:lineRule="auto"/>
        <w:ind w:left="-5" w:hanging="10"/>
        <w:jc w:val="both"/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</w:pP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‘Bertha von Suttner’s </w:t>
      </w:r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eastAsia="en-GB" w:bidi="en-GB"/>
        </w:rPr>
        <w:t xml:space="preserve">Die Waffen </w:t>
      </w:r>
      <w:proofErr w:type="spellStart"/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eastAsia="en-GB" w:bidi="en-GB"/>
        </w:rPr>
        <w:t>nieder</w:t>
      </w:r>
      <w:proofErr w:type="spellEnd"/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eastAsia="en-GB" w:bidi="en-GB"/>
        </w:rPr>
        <w:t xml:space="preserve">! </w:t>
      </w: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and Gabriele Reuter’s </w:t>
      </w:r>
      <w:proofErr w:type="spellStart"/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eastAsia="en-GB" w:bidi="en-GB"/>
        </w:rPr>
        <w:t>Aus</w:t>
      </w:r>
      <w:proofErr w:type="spellEnd"/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eastAsia="en-GB" w:bidi="en-GB"/>
        </w:rPr>
        <w:t xml:space="preserve"> </w:t>
      </w:r>
      <w:proofErr w:type="spellStart"/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eastAsia="en-GB" w:bidi="en-GB"/>
        </w:rPr>
        <w:t>guter</w:t>
      </w:r>
      <w:proofErr w:type="spellEnd"/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eastAsia="en-GB" w:bidi="en-GB"/>
        </w:rPr>
        <w:t xml:space="preserve"> </w:t>
      </w:r>
      <w:proofErr w:type="spellStart"/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eastAsia="en-GB" w:bidi="en-GB"/>
        </w:rPr>
        <w:t>Familie</w:t>
      </w:r>
      <w:proofErr w:type="spellEnd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: Sentimentality and Social Criticism’, in </w:t>
      </w:r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eastAsia="en-GB" w:bidi="en-GB"/>
        </w:rPr>
        <w:t>The Late Nineteenth-Century German Bestseller</w:t>
      </w: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, ed. Charlotte Woodford and Benedict Schofield (Rochester NY: Camden House, 2012), pp. 206-23 </w:t>
      </w:r>
    </w:p>
    <w:p w14:paraId="4A839BDF" w14:textId="77777777" w:rsidR="00BB0946" w:rsidRPr="00BB0946" w:rsidRDefault="00BB0946" w:rsidP="00BB0946">
      <w:pPr>
        <w:spacing w:after="230" w:line="248" w:lineRule="auto"/>
        <w:ind w:left="-5" w:hanging="10"/>
        <w:jc w:val="both"/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</w:pP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‘Nineteenth-Century Sentimentality and its Discourse of Renunciation in </w:t>
      </w:r>
      <w:proofErr w:type="spellStart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>Marlitt’s</w:t>
      </w:r>
      <w:proofErr w:type="spellEnd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 </w:t>
      </w:r>
      <w:proofErr w:type="spellStart"/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eastAsia="en-GB" w:bidi="en-GB"/>
        </w:rPr>
        <w:t>Goldelse</w:t>
      </w:r>
      <w:proofErr w:type="spellEnd"/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eastAsia="en-GB" w:bidi="en-GB"/>
        </w:rPr>
        <w:t xml:space="preserve"> </w:t>
      </w: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and Gabriele Reuter’s </w:t>
      </w:r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eastAsia="en-GB" w:bidi="en-GB"/>
        </w:rPr>
        <w:t xml:space="preserve">Liselotte von </w:t>
      </w:r>
      <w:proofErr w:type="spellStart"/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eastAsia="en-GB" w:bidi="en-GB"/>
        </w:rPr>
        <w:t>Reckling</w:t>
      </w:r>
      <w:proofErr w:type="spellEnd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’, in </w:t>
      </w:r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eastAsia="en-GB" w:bidi="en-GB"/>
        </w:rPr>
        <w:t>German Women Writers of the Eighteenth and Nineteenth Centuries: Future Directions in Feminist Criticism</w:t>
      </w: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, ed. </w:t>
      </w: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 xml:space="preserve">Helen Fronius and Anna Richards (London: </w:t>
      </w:r>
      <w:proofErr w:type="spellStart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>Legenda</w:t>
      </w:r>
      <w:proofErr w:type="spellEnd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 xml:space="preserve">, 2011), pp. 84-98  </w:t>
      </w:r>
    </w:p>
    <w:p w14:paraId="35FF95A6" w14:textId="77777777" w:rsidR="00BB0946" w:rsidRPr="00BB0946" w:rsidRDefault="00BB0946" w:rsidP="00BB0946">
      <w:pPr>
        <w:spacing w:after="230" w:line="248" w:lineRule="auto"/>
        <w:ind w:left="-5" w:hanging="10"/>
        <w:jc w:val="both"/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</w:pP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 xml:space="preserve">‘“Eine Dichtung vom Dichter - ein Phantasiebild, aus Schauen, Erleben und Träumen zusammengefügt”: Gabriele Reuters Aufsatz über Marie von Ebner-Eschenbach’, in </w:t>
      </w:r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val="de-DE" w:eastAsia="en-GB" w:bidi="en-GB"/>
        </w:rPr>
        <w:t xml:space="preserve">Die </w:t>
      </w:r>
      <w:proofErr w:type="gramStart"/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val="de-DE" w:eastAsia="en-GB" w:bidi="en-GB"/>
        </w:rPr>
        <w:t>Biographie</w:t>
      </w:r>
      <w:proofErr w:type="gramEnd"/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val="de-DE" w:eastAsia="en-GB" w:bidi="en-GB"/>
        </w:rPr>
        <w:t xml:space="preserve"> – Beiträge zu ihrer Geschichte</w:t>
      </w: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 xml:space="preserve">, </w:t>
      </w:r>
      <w:proofErr w:type="spellStart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>ed</w:t>
      </w:r>
      <w:proofErr w:type="spellEnd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 xml:space="preserve">. </w:t>
      </w: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Wilhelm </w:t>
      </w:r>
      <w:proofErr w:type="spellStart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>Hemecker</w:t>
      </w:r>
      <w:proofErr w:type="spellEnd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 (Berlin: Walter de Gruyter, 2009), pp. 105-21  </w:t>
      </w:r>
    </w:p>
    <w:p w14:paraId="291CE0C4" w14:textId="77777777" w:rsidR="00BB0946" w:rsidRPr="00BB0946" w:rsidRDefault="00BB0946" w:rsidP="00BB0946">
      <w:pPr>
        <w:spacing w:after="230" w:line="248" w:lineRule="auto"/>
        <w:ind w:left="-5" w:hanging="10"/>
        <w:jc w:val="both"/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</w:pP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‘Constructing women’s love of women: Sappho and Queen Christine of Sweden in the letters and work of the Viennese poet Marie von </w:t>
      </w:r>
      <w:proofErr w:type="spellStart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>Najmájer</w:t>
      </w:r>
      <w:proofErr w:type="spellEnd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’, </w:t>
      </w:r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eastAsia="en-GB" w:bidi="en-GB"/>
        </w:rPr>
        <w:t>Modern Language Review</w:t>
      </w: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, 103 (2008), 784-99 </w:t>
      </w:r>
    </w:p>
    <w:p w14:paraId="53E7826A" w14:textId="77777777" w:rsidR="00BB0946" w:rsidRPr="00BB0946" w:rsidRDefault="00BB0946" w:rsidP="00BB0946">
      <w:pPr>
        <w:spacing w:after="230" w:line="248" w:lineRule="auto"/>
        <w:ind w:left="-5" w:hanging="10"/>
        <w:jc w:val="both"/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</w:pP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‘Writing the Thirty Years’ War: Convent histories by Maria Anna Junius and Elisabeth Herold’, in </w:t>
      </w:r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eastAsia="en-GB" w:bidi="en-GB"/>
        </w:rPr>
        <w:t>Early Modern Female Monasticism: An interdisciplinary view</w:t>
      </w: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, ed. </w:t>
      </w:r>
      <w:proofErr w:type="spellStart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>Cordula</w:t>
      </w:r>
      <w:proofErr w:type="spellEnd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 van </w:t>
      </w:r>
      <w:proofErr w:type="spellStart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>Wyhe</w:t>
      </w:r>
      <w:proofErr w:type="spellEnd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 (Aldershot: Ashgate, 2008), pp. 245-60 </w:t>
      </w:r>
    </w:p>
    <w:p w14:paraId="7382F3B9" w14:textId="77777777" w:rsidR="00BB0946" w:rsidRPr="00BB0946" w:rsidRDefault="00BB0946" w:rsidP="00BB0946">
      <w:pPr>
        <w:spacing w:after="230" w:line="248" w:lineRule="auto"/>
        <w:ind w:left="-5" w:hanging="10"/>
        <w:jc w:val="both"/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</w:pP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‘Fontane’s </w:t>
      </w:r>
      <w:proofErr w:type="spellStart"/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eastAsia="en-GB" w:bidi="en-GB"/>
        </w:rPr>
        <w:t>Effi</w:t>
      </w:r>
      <w:proofErr w:type="spellEnd"/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eastAsia="en-GB" w:bidi="en-GB"/>
        </w:rPr>
        <w:t xml:space="preserve"> </w:t>
      </w:r>
      <w:proofErr w:type="spellStart"/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eastAsia="en-GB" w:bidi="en-GB"/>
        </w:rPr>
        <w:t>Briest</w:t>
      </w:r>
      <w:proofErr w:type="spellEnd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’ in </w:t>
      </w:r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eastAsia="en-GB" w:bidi="en-GB"/>
        </w:rPr>
        <w:t>Landmarks in the German Novel</w:t>
      </w: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, 1, ed. Peter Hutchinson (Oxford: Peter Lang, 2007), pp. 83-98 </w:t>
      </w:r>
    </w:p>
    <w:p w14:paraId="01CCEA89" w14:textId="77777777" w:rsidR="00BB0946" w:rsidRPr="00BB0946" w:rsidRDefault="00BB0946" w:rsidP="00BB0946">
      <w:pPr>
        <w:spacing w:after="230" w:line="248" w:lineRule="auto"/>
        <w:ind w:left="-5" w:hanging="10"/>
        <w:jc w:val="both"/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</w:pP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‘Marie von Ebner-Eschenbach’, </w:t>
      </w:r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eastAsia="en-GB" w:bidi="en-GB"/>
        </w:rPr>
        <w:t>Landmarks in German Women’s Writing</w:t>
      </w: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, ed. Hilary Brown (Oxford: Peter Lang, 2007), pp. 91-106 </w:t>
      </w:r>
    </w:p>
    <w:p w14:paraId="2D4E33A8" w14:textId="77777777" w:rsidR="00BB0946" w:rsidRPr="00BB0946" w:rsidRDefault="00BB0946" w:rsidP="00BB0946">
      <w:pPr>
        <w:spacing w:after="230" w:line="248" w:lineRule="auto"/>
        <w:ind w:left="-5" w:hanging="10"/>
        <w:jc w:val="both"/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</w:pP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‘Realism and sentimentalism in Marie von Ebner-Eschenbach’s </w:t>
      </w:r>
      <w:proofErr w:type="spellStart"/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eastAsia="en-GB" w:bidi="en-GB"/>
        </w:rPr>
        <w:t>Unsühnbar</w:t>
      </w:r>
      <w:proofErr w:type="spellEnd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’, </w:t>
      </w:r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eastAsia="en-GB" w:bidi="en-GB"/>
        </w:rPr>
        <w:t>Modern Language Review</w:t>
      </w: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, 101 (2006), 155-70 </w:t>
      </w:r>
    </w:p>
    <w:p w14:paraId="2C207C1E" w14:textId="77777777" w:rsidR="00BB0946" w:rsidRPr="00BB0946" w:rsidRDefault="00BB0946" w:rsidP="00BB0946">
      <w:pPr>
        <w:spacing w:after="230" w:line="248" w:lineRule="auto"/>
        <w:ind w:left="-5" w:hanging="10"/>
        <w:jc w:val="both"/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</w:pP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‘Suffering and Domesticity: The Subversion of Sentimentalism in Three Stories by Marie von Ebner-Eschenbach’, </w:t>
      </w:r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eastAsia="en-GB" w:bidi="en-GB"/>
        </w:rPr>
        <w:t>German Life and Letters</w:t>
      </w: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, 59 (2006), 47-61 </w:t>
      </w:r>
    </w:p>
    <w:p w14:paraId="75464B55" w14:textId="77777777" w:rsidR="00BB0946" w:rsidRPr="00BB0946" w:rsidRDefault="00BB0946" w:rsidP="00BB0946">
      <w:pPr>
        <w:spacing w:after="230" w:line="248" w:lineRule="auto"/>
        <w:ind w:left="-5" w:hanging="10"/>
        <w:jc w:val="both"/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</w:pP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>‘</w:t>
      </w:r>
      <w:proofErr w:type="spellStart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>Gryphius’s</w:t>
      </w:r>
      <w:proofErr w:type="spellEnd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 </w:t>
      </w:r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eastAsia="en-GB" w:bidi="en-GB"/>
        </w:rPr>
        <w:t xml:space="preserve">Peter </w:t>
      </w:r>
      <w:proofErr w:type="spellStart"/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eastAsia="en-GB" w:bidi="en-GB"/>
        </w:rPr>
        <w:t>Squentz</w:t>
      </w:r>
      <w:proofErr w:type="spellEnd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’, in </w:t>
      </w:r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eastAsia="en-GB" w:bidi="en-GB"/>
        </w:rPr>
        <w:t>Landmarks in German Comedy</w:t>
      </w: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, ed. </w:t>
      </w: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 xml:space="preserve">Peter Hutchinson (Oxford: Peter Lang, 2006), pp. 21-36 </w:t>
      </w:r>
    </w:p>
    <w:p w14:paraId="24C5042D" w14:textId="77777777" w:rsidR="00BB0946" w:rsidRPr="00BB0946" w:rsidRDefault="00BB0946" w:rsidP="00BB0946">
      <w:pPr>
        <w:spacing w:after="230" w:line="248" w:lineRule="auto"/>
        <w:ind w:left="-5" w:hanging="10"/>
        <w:jc w:val="both"/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</w:pP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lastRenderedPageBreak/>
        <w:t xml:space="preserve">‘Convents and the history of nuns’, </w:t>
      </w:r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eastAsia="en-GB" w:bidi="en-GB"/>
        </w:rPr>
        <w:t>Companion to Women’s Historical Writing</w:t>
      </w: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, ed. Mary </w:t>
      </w:r>
      <w:proofErr w:type="spellStart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>Spongberg</w:t>
      </w:r>
      <w:proofErr w:type="spellEnd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, Barbara </w:t>
      </w:r>
      <w:proofErr w:type="gramStart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>Caine</w:t>
      </w:r>
      <w:proofErr w:type="gramEnd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 and Ann </w:t>
      </w:r>
      <w:proofErr w:type="spellStart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>Curthoys</w:t>
      </w:r>
      <w:proofErr w:type="spellEnd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 (Basingstoke: Palgrave, 2005), pp. 104-11 </w:t>
      </w:r>
    </w:p>
    <w:p w14:paraId="353DF569" w14:textId="77777777" w:rsidR="00BB0946" w:rsidRPr="00BB0946" w:rsidRDefault="00BB0946" w:rsidP="00BB0946">
      <w:pPr>
        <w:spacing w:after="240" w:line="238" w:lineRule="auto"/>
        <w:ind w:left="11" w:hanging="11"/>
        <w:jc w:val="both"/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</w:pP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‘Contrasting Discourses of Nationalism in Historical Novels by Freytag and Fontane’, in </w:t>
      </w:r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eastAsia="en-GB" w:bidi="en-GB"/>
        </w:rPr>
        <w:t>German Literature, History, and the Nation</w:t>
      </w: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, ed. Christian Emden and David Midgley (Oxford: Peter Lang, 2004), pp. 253–76 ‘Kleist’s Michael </w:t>
      </w:r>
      <w:proofErr w:type="spellStart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>Kohlhaas</w:t>
      </w:r>
      <w:proofErr w:type="spellEnd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’, in </w:t>
      </w:r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eastAsia="en-GB" w:bidi="en-GB"/>
        </w:rPr>
        <w:t>Landmarks in German Short Prose</w:t>
      </w: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, ed. Peter Hutchinson (Oxford: Peter Lang, 2003), pp. 29-43 </w:t>
      </w:r>
    </w:p>
    <w:p w14:paraId="24FC866D" w14:textId="77777777" w:rsidR="00BB0946" w:rsidRPr="00BB0946" w:rsidRDefault="00BB0946" w:rsidP="00BB0946">
      <w:pPr>
        <w:spacing w:after="230" w:line="248" w:lineRule="auto"/>
        <w:ind w:left="-5" w:hanging="10"/>
        <w:jc w:val="both"/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</w:pP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 xml:space="preserve">“Es </w:t>
      </w:r>
      <w:proofErr w:type="spellStart"/>
      <w:proofErr w:type="gramStart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>werd</w:t>
      </w:r>
      <w:proofErr w:type="spellEnd"/>
      <w:proofErr w:type="gramEnd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 xml:space="preserve"> nu </w:t>
      </w:r>
      <w:proofErr w:type="spellStart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>wol</w:t>
      </w:r>
      <w:proofErr w:type="spellEnd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 xml:space="preserve"> </w:t>
      </w:r>
      <w:proofErr w:type="spellStart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>zeit</w:t>
      </w:r>
      <w:proofErr w:type="spellEnd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 xml:space="preserve">, das </w:t>
      </w:r>
      <w:proofErr w:type="spellStart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>si</w:t>
      </w:r>
      <w:proofErr w:type="spellEnd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 xml:space="preserve"> wartet, was einem </w:t>
      </w:r>
      <w:proofErr w:type="spellStart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>frumen</w:t>
      </w:r>
      <w:proofErr w:type="spellEnd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 xml:space="preserve"> </w:t>
      </w:r>
      <w:proofErr w:type="spellStart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>ee</w:t>
      </w:r>
      <w:proofErr w:type="spellEnd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 xml:space="preserve"> </w:t>
      </w:r>
      <w:proofErr w:type="spellStart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>weib</w:t>
      </w:r>
      <w:proofErr w:type="spellEnd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 xml:space="preserve"> zu </w:t>
      </w:r>
      <w:proofErr w:type="spellStart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>stund</w:t>
      </w:r>
      <w:proofErr w:type="spellEnd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 xml:space="preserve">”: Women’s Letters </w:t>
      </w:r>
      <w:proofErr w:type="spellStart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>from</w:t>
      </w:r>
      <w:proofErr w:type="spellEnd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 xml:space="preserve"> </w:t>
      </w:r>
      <w:proofErr w:type="spellStart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>the</w:t>
      </w:r>
      <w:proofErr w:type="spellEnd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 xml:space="preserve"> Reformation’, </w:t>
      </w:r>
      <w:proofErr w:type="spellStart"/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val="de-DE" w:eastAsia="en-GB" w:bidi="en-GB"/>
        </w:rPr>
        <w:t>Daphnis</w:t>
      </w:r>
      <w:proofErr w:type="spellEnd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 xml:space="preserve">, 30 (2001), 37-52 </w:t>
      </w:r>
    </w:p>
    <w:p w14:paraId="06BDCFCE" w14:textId="77777777" w:rsidR="00BB0946" w:rsidRPr="00BB0946" w:rsidRDefault="00BB0946" w:rsidP="00BB0946">
      <w:pPr>
        <w:spacing w:after="230" w:line="248" w:lineRule="auto"/>
        <w:ind w:left="-5" w:hanging="10"/>
        <w:jc w:val="both"/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</w:pP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 xml:space="preserve">‘“Wir haben nicht </w:t>
      </w:r>
      <w:proofErr w:type="spellStart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>gewist</w:t>
      </w:r>
      <w:proofErr w:type="spellEnd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 xml:space="preserve"> / was wir vor </w:t>
      </w:r>
      <w:proofErr w:type="spellStart"/>
      <w:proofErr w:type="gramStart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>angst</w:t>
      </w:r>
      <w:proofErr w:type="spellEnd"/>
      <w:proofErr w:type="gramEnd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 xml:space="preserve"> und schrecken </w:t>
      </w:r>
      <w:proofErr w:type="spellStart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>thun</w:t>
      </w:r>
      <w:proofErr w:type="spellEnd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 xml:space="preserve"> sollen”: </w:t>
      </w:r>
      <w:proofErr w:type="spellStart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>Autobiographical</w:t>
      </w:r>
      <w:proofErr w:type="spellEnd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 xml:space="preserve"> </w:t>
      </w:r>
      <w:proofErr w:type="spellStart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>Writings</w:t>
      </w:r>
      <w:proofErr w:type="spellEnd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 xml:space="preserve"> </w:t>
      </w:r>
      <w:proofErr w:type="spellStart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>by</w:t>
      </w:r>
      <w:proofErr w:type="spellEnd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 xml:space="preserve"> </w:t>
      </w:r>
      <w:proofErr w:type="spellStart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>two</w:t>
      </w:r>
      <w:proofErr w:type="spellEnd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 xml:space="preserve"> </w:t>
      </w:r>
      <w:proofErr w:type="spellStart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>Nuns</w:t>
      </w:r>
      <w:proofErr w:type="spellEnd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 xml:space="preserve"> </w:t>
      </w:r>
      <w:proofErr w:type="spellStart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>from</w:t>
      </w:r>
      <w:proofErr w:type="spellEnd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 xml:space="preserve"> </w:t>
      </w:r>
      <w:proofErr w:type="spellStart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>the</w:t>
      </w:r>
      <w:proofErr w:type="spellEnd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 xml:space="preserve"> Thirty </w:t>
      </w:r>
      <w:proofErr w:type="spellStart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>Years</w:t>
      </w:r>
      <w:proofErr w:type="spellEnd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 xml:space="preserve">’ War’, in </w:t>
      </w:r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val="de-DE" w:eastAsia="en-GB" w:bidi="en-GB"/>
        </w:rPr>
        <w:t xml:space="preserve">Women’s </w:t>
      </w:r>
      <w:proofErr w:type="spellStart"/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val="de-DE" w:eastAsia="en-GB" w:bidi="en-GB"/>
        </w:rPr>
        <w:t>Autobiography</w:t>
      </w:r>
      <w:proofErr w:type="spellEnd"/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val="de-DE" w:eastAsia="en-GB" w:bidi="en-GB"/>
        </w:rPr>
        <w:t xml:space="preserve"> in German, </w:t>
      </w:r>
      <w:proofErr w:type="spellStart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>ed</w:t>
      </w:r>
      <w:proofErr w:type="spellEnd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val="de-DE" w:eastAsia="en-GB" w:bidi="en-GB"/>
        </w:rPr>
        <w:t xml:space="preserve">. </w:t>
      </w:r>
      <w:proofErr w:type="spellStart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>Mererid</w:t>
      </w:r>
      <w:proofErr w:type="spellEnd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 </w:t>
      </w:r>
      <w:proofErr w:type="spellStart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>Puw</w:t>
      </w:r>
      <w:proofErr w:type="spellEnd"/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 Davies, Beth Linklater and Gisela Shaw (Frankfurt am Main: Peter Lang, 2000), pp. 53-67 </w:t>
      </w:r>
    </w:p>
    <w:p w14:paraId="3AD9BAE6" w14:textId="77777777" w:rsidR="00BB0946" w:rsidRPr="00BB0946" w:rsidRDefault="00BB0946" w:rsidP="00BB0946">
      <w:pPr>
        <w:spacing w:after="230" w:line="248" w:lineRule="auto"/>
        <w:ind w:left="-5" w:hanging="10"/>
        <w:jc w:val="both"/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</w:pP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‘Women as Historians: The Case of Early Modern German Convents’, </w:t>
      </w:r>
      <w:r w:rsidRPr="00BB0946">
        <w:rPr>
          <w:rFonts w:ascii="Palatino Linotype" w:eastAsia="Garamond" w:hAnsi="Palatino Linotype" w:cs="Garamond"/>
          <w:i/>
          <w:color w:val="000000"/>
          <w:sz w:val="21"/>
          <w:szCs w:val="21"/>
          <w:lang w:eastAsia="en-GB" w:bidi="en-GB"/>
        </w:rPr>
        <w:t>German Life and Letters</w:t>
      </w: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, 52 (1999), 271-280 </w:t>
      </w:r>
    </w:p>
    <w:p w14:paraId="4DE3D1B6" w14:textId="77777777" w:rsidR="00BB0946" w:rsidRPr="00BB0946" w:rsidRDefault="00BB0946" w:rsidP="00BB0946">
      <w:pPr>
        <w:spacing w:after="217" w:line="259" w:lineRule="auto"/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</w:pP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 </w:t>
      </w:r>
    </w:p>
    <w:p w14:paraId="37F109E3" w14:textId="77777777" w:rsidR="00BB0946" w:rsidRPr="00BB0946" w:rsidRDefault="00BB0946" w:rsidP="00BB0946">
      <w:pPr>
        <w:spacing w:line="259" w:lineRule="auto"/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</w:pPr>
      <w:r w:rsidRPr="00BB0946">
        <w:rPr>
          <w:rFonts w:ascii="Palatino Linotype" w:eastAsia="Garamond" w:hAnsi="Palatino Linotype" w:cs="Garamond"/>
          <w:color w:val="000000"/>
          <w:sz w:val="21"/>
          <w:szCs w:val="21"/>
          <w:lang w:eastAsia="en-GB" w:bidi="en-GB"/>
        </w:rPr>
        <w:t xml:space="preserve"> </w:t>
      </w:r>
    </w:p>
    <w:p w14:paraId="066B52F4" w14:textId="77777777" w:rsidR="00AB2ED3" w:rsidRDefault="00000000"/>
    <w:sectPr w:rsidR="00AB2ED3">
      <w:headerReference w:type="default" r:id="rId4"/>
      <w:pgSz w:w="11906" w:h="16838"/>
      <w:pgMar w:top="1486" w:right="1435" w:bottom="159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09FB" w14:textId="77777777" w:rsidR="00154E37" w:rsidRPr="00154E37" w:rsidRDefault="00000000" w:rsidP="00154E37">
    <w:pPr>
      <w:pStyle w:val="Header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46"/>
    <w:rsid w:val="003E65FA"/>
    <w:rsid w:val="004B4FD1"/>
    <w:rsid w:val="00BA144A"/>
    <w:rsid w:val="00BB0946"/>
    <w:rsid w:val="00D5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7468B2"/>
  <w15:chartTrackingRefBased/>
  <w15:docId w15:val="{3BF20E83-174D-694A-8C4C-D6592BD5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09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0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862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Woodford</dc:creator>
  <cp:keywords/>
  <dc:description/>
  <cp:lastModifiedBy>Charlotte Woodford</cp:lastModifiedBy>
  <cp:revision>1</cp:revision>
  <dcterms:created xsi:type="dcterms:W3CDTF">2023-09-16T15:32:00Z</dcterms:created>
  <dcterms:modified xsi:type="dcterms:W3CDTF">2023-09-16T15:34:00Z</dcterms:modified>
</cp:coreProperties>
</file>