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735F1" w14:textId="14CAAE45" w:rsidR="008D079D" w:rsidRPr="0069209D" w:rsidRDefault="000A1E86" w:rsidP="000655EA">
      <w:pPr>
        <w:rPr>
          <w:rFonts w:asciiTheme="majorHAnsi" w:hAnsiTheme="majorHAnsi"/>
          <w:b/>
          <w:sz w:val="32"/>
          <w:szCs w:val="32"/>
        </w:rPr>
      </w:pPr>
      <w:r w:rsidRPr="0069209D">
        <w:rPr>
          <w:rFonts w:asciiTheme="majorHAnsi" w:hAnsiTheme="majorHAnsi"/>
          <w:b/>
          <w:sz w:val="32"/>
          <w:szCs w:val="32"/>
        </w:rPr>
        <w:t xml:space="preserve">IL1: </w:t>
      </w:r>
      <w:r w:rsidR="003C5822" w:rsidRPr="0069209D">
        <w:rPr>
          <w:rFonts w:asciiTheme="majorHAnsi" w:hAnsiTheme="majorHAnsi"/>
          <w:b/>
          <w:sz w:val="32"/>
          <w:szCs w:val="32"/>
        </w:rPr>
        <w:t>Ethnographic Filmmaking from Argentina and Brazil</w:t>
      </w:r>
    </w:p>
    <w:p w14:paraId="0FF9BF48" w14:textId="726CEA5B" w:rsidR="00896210" w:rsidRPr="0069209D" w:rsidRDefault="000A1E86">
      <w:pPr>
        <w:rPr>
          <w:sz w:val="22"/>
        </w:rPr>
      </w:pPr>
      <w:r w:rsidRPr="0069209D">
        <w:rPr>
          <w:sz w:val="22"/>
        </w:rPr>
        <w:softHyphen/>
      </w:r>
      <w:r w:rsidRPr="0069209D">
        <w:rPr>
          <w:sz w:val="22"/>
        </w:rPr>
        <w:softHyphen/>
      </w:r>
      <w:r w:rsidRPr="0069209D">
        <w:rPr>
          <w:sz w:val="22"/>
        </w:rPr>
        <w:softHyphen/>
      </w:r>
      <w:r w:rsidRPr="0069209D">
        <w:rPr>
          <w:sz w:val="22"/>
        </w:rPr>
        <w:softHyphen/>
      </w:r>
      <w:r w:rsidRPr="0069209D">
        <w:rPr>
          <w:sz w:val="22"/>
        </w:rPr>
        <w:softHyphen/>
      </w:r>
      <w:r w:rsidRPr="0069209D">
        <w:rPr>
          <w:sz w:val="22"/>
        </w:rPr>
        <w:softHyphen/>
      </w:r>
      <w:r w:rsidRPr="0069209D">
        <w:rPr>
          <w:sz w:val="22"/>
        </w:rPr>
        <w:softHyphen/>
      </w:r>
      <w:r w:rsidRPr="0069209D">
        <w:rPr>
          <w:sz w:val="22"/>
        </w:rPr>
        <w:softHyphen/>
        <w:t>_____________________________________________________________________________________________________________________________</w:t>
      </w:r>
    </w:p>
    <w:p w14:paraId="3814B4F8" w14:textId="77777777" w:rsidR="003C5822" w:rsidRPr="0069209D" w:rsidRDefault="003C5822">
      <w:pPr>
        <w:rPr>
          <w:b/>
          <w:i/>
          <w:sz w:val="22"/>
        </w:rPr>
      </w:pPr>
    </w:p>
    <w:p w14:paraId="7DE6B4E1" w14:textId="77777777" w:rsidR="00F433F9" w:rsidRDefault="00F433F9">
      <w:pPr>
        <w:rPr>
          <w:rFonts w:asciiTheme="majorHAnsi" w:hAnsiTheme="majorHAnsi"/>
          <w:b/>
          <w:sz w:val="22"/>
          <w:szCs w:val="22"/>
        </w:rPr>
      </w:pPr>
    </w:p>
    <w:p w14:paraId="4E3AE047" w14:textId="08B58DFC" w:rsidR="000A1E86" w:rsidRPr="003E7385" w:rsidRDefault="003C5822">
      <w:pPr>
        <w:rPr>
          <w:rFonts w:asciiTheme="majorHAnsi" w:hAnsiTheme="majorHAnsi"/>
          <w:b/>
          <w:sz w:val="22"/>
          <w:szCs w:val="22"/>
        </w:rPr>
      </w:pPr>
      <w:r w:rsidRPr="003E7385">
        <w:rPr>
          <w:rFonts w:asciiTheme="majorHAnsi" w:hAnsiTheme="majorHAnsi"/>
          <w:b/>
          <w:sz w:val="22"/>
          <w:szCs w:val="22"/>
        </w:rPr>
        <w:t>Films discussed in the lecture and/or suggested for further study:</w:t>
      </w:r>
    </w:p>
    <w:p w14:paraId="1C6CB043" w14:textId="77777777" w:rsidR="003C5822" w:rsidRPr="003E7385" w:rsidRDefault="003C5822">
      <w:pPr>
        <w:rPr>
          <w:rFonts w:asciiTheme="majorHAnsi" w:hAnsiTheme="majorHAnsi"/>
          <w:b/>
          <w:sz w:val="22"/>
          <w:szCs w:val="22"/>
        </w:rPr>
      </w:pPr>
    </w:p>
    <w:p w14:paraId="531E64D8" w14:textId="77777777" w:rsidR="003C5822" w:rsidRPr="003E7385" w:rsidRDefault="003C5822" w:rsidP="003C5822">
      <w:pPr>
        <w:widowControl w:val="0"/>
        <w:autoSpaceDE w:val="0"/>
        <w:autoSpaceDN w:val="0"/>
        <w:adjustRightInd w:val="0"/>
        <w:rPr>
          <w:rFonts w:asciiTheme="majorHAnsi" w:hAnsiTheme="majorHAnsi" w:cs="Cambria"/>
          <w:b/>
          <w:sz w:val="22"/>
          <w:szCs w:val="22"/>
        </w:rPr>
      </w:pPr>
      <w:r w:rsidRPr="003E7385">
        <w:rPr>
          <w:rFonts w:asciiTheme="majorHAnsi" w:hAnsiTheme="majorHAnsi" w:cs="Cambria"/>
          <w:b/>
          <w:sz w:val="22"/>
          <w:szCs w:val="22"/>
        </w:rPr>
        <w:t>Argentina:</w:t>
      </w:r>
    </w:p>
    <w:p w14:paraId="30715AC7" w14:textId="77777777" w:rsidR="003C5822" w:rsidRPr="0069209D" w:rsidRDefault="003C5822" w:rsidP="003C5822">
      <w:pPr>
        <w:widowControl w:val="0"/>
        <w:autoSpaceDE w:val="0"/>
        <w:autoSpaceDN w:val="0"/>
        <w:adjustRightInd w:val="0"/>
        <w:rPr>
          <w:rFonts w:ascii="Cambria" w:hAnsi="Cambria" w:cs="Cambria"/>
          <w:sz w:val="22"/>
          <w:szCs w:val="22"/>
        </w:rPr>
      </w:pPr>
    </w:p>
    <w:p w14:paraId="500FA03D" w14:textId="79CF5089" w:rsidR="003C5822" w:rsidRPr="0069209D" w:rsidRDefault="003C5822" w:rsidP="003C5822">
      <w:pPr>
        <w:pStyle w:val="ListParagraph"/>
        <w:widowControl w:val="0"/>
        <w:numPr>
          <w:ilvl w:val="0"/>
          <w:numId w:val="1"/>
        </w:numPr>
        <w:autoSpaceDE w:val="0"/>
        <w:autoSpaceDN w:val="0"/>
        <w:adjustRightInd w:val="0"/>
        <w:rPr>
          <w:rFonts w:ascii="Cambria" w:hAnsi="Cambria" w:cs="Cambria"/>
          <w:sz w:val="22"/>
          <w:szCs w:val="22"/>
        </w:rPr>
      </w:pPr>
      <w:r w:rsidRPr="0069209D">
        <w:rPr>
          <w:rFonts w:ascii="Cambria" w:hAnsi="Cambria" w:cs="Cambria"/>
          <w:i/>
          <w:iCs/>
          <w:sz w:val="22"/>
          <w:szCs w:val="22"/>
        </w:rPr>
        <w:t>Zulay, frente al siglo XXI</w:t>
      </w:r>
      <w:r w:rsidRPr="0069209D">
        <w:rPr>
          <w:rFonts w:ascii="Cambria" w:hAnsi="Cambria" w:cs="Cambria"/>
          <w:sz w:val="22"/>
          <w:szCs w:val="22"/>
        </w:rPr>
        <w:t xml:space="preserve"> (Jorge Prelorán, 1989) </w:t>
      </w:r>
    </w:p>
    <w:p w14:paraId="43E3D757" w14:textId="7D2C8356" w:rsidR="003C5822" w:rsidRPr="0069209D" w:rsidRDefault="003C5822" w:rsidP="003C5822">
      <w:pPr>
        <w:pStyle w:val="ListParagraph"/>
        <w:widowControl w:val="0"/>
        <w:numPr>
          <w:ilvl w:val="0"/>
          <w:numId w:val="1"/>
        </w:numPr>
        <w:autoSpaceDE w:val="0"/>
        <w:autoSpaceDN w:val="0"/>
        <w:adjustRightInd w:val="0"/>
        <w:rPr>
          <w:rFonts w:ascii="Cambria" w:hAnsi="Cambria" w:cs="Cambria"/>
          <w:b/>
          <w:sz w:val="22"/>
          <w:szCs w:val="22"/>
        </w:rPr>
      </w:pPr>
      <w:r w:rsidRPr="0069209D">
        <w:rPr>
          <w:rFonts w:ascii="Cambria" w:hAnsi="Cambria" w:cs="Cambria"/>
          <w:b/>
          <w:sz w:val="22"/>
          <w:szCs w:val="22"/>
        </w:rPr>
        <w:t xml:space="preserve">OR </w:t>
      </w:r>
      <w:r w:rsidRPr="0069209D">
        <w:rPr>
          <w:rFonts w:ascii="Cambria" w:hAnsi="Cambria" w:cs="Cambria"/>
          <w:i/>
          <w:iCs/>
          <w:sz w:val="22"/>
          <w:szCs w:val="22"/>
        </w:rPr>
        <w:t>Huellas y memoria de Jorge Prelorán</w:t>
      </w:r>
      <w:r w:rsidRPr="0069209D">
        <w:rPr>
          <w:rFonts w:ascii="Cambria" w:hAnsi="Cambria" w:cs="Cambria"/>
          <w:sz w:val="22"/>
          <w:szCs w:val="22"/>
        </w:rPr>
        <w:t xml:space="preserve"> (Fermín Álvarez Rivera, 2010) </w:t>
      </w:r>
    </w:p>
    <w:p w14:paraId="52810715" w14:textId="0E8949E0" w:rsidR="003C5822" w:rsidRPr="0069209D" w:rsidRDefault="003C5822" w:rsidP="003C5822">
      <w:pPr>
        <w:pStyle w:val="ListParagraph"/>
        <w:widowControl w:val="0"/>
        <w:numPr>
          <w:ilvl w:val="0"/>
          <w:numId w:val="1"/>
        </w:numPr>
        <w:autoSpaceDE w:val="0"/>
        <w:autoSpaceDN w:val="0"/>
        <w:adjustRightInd w:val="0"/>
        <w:rPr>
          <w:rFonts w:ascii="Cambria" w:hAnsi="Cambria" w:cs="Cambria"/>
          <w:sz w:val="22"/>
          <w:szCs w:val="22"/>
        </w:rPr>
      </w:pPr>
      <w:r w:rsidRPr="0069209D">
        <w:rPr>
          <w:rFonts w:ascii="Cambria" w:hAnsi="Cambria" w:cs="Cambria"/>
          <w:i/>
          <w:iCs/>
          <w:sz w:val="22"/>
          <w:szCs w:val="22"/>
        </w:rPr>
        <w:t>El etnógrafo</w:t>
      </w:r>
      <w:r w:rsidRPr="0069209D">
        <w:rPr>
          <w:rFonts w:ascii="Cambria" w:hAnsi="Cambria" w:cs="Cambria"/>
          <w:sz w:val="22"/>
          <w:szCs w:val="22"/>
        </w:rPr>
        <w:t xml:space="preserve"> (Ulises Rosell, 2012) </w:t>
      </w:r>
    </w:p>
    <w:p w14:paraId="3AF9836D" w14:textId="77777777" w:rsidR="003C5822" w:rsidRPr="0069209D" w:rsidRDefault="003C5822" w:rsidP="003C5822">
      <w:pPr>
        <w:widowControl w:val="0"/>
        <w:autoSpaceDE w:val="0"/>
        <w:autoSpaceDN w:val="0"/>
        <w:adjustRightInd w:val="0"/>
        <w:rPr>
          <w:rFonts w:ascii="Cambria" w:hAnsi="Cambria" w:cs="Cambria"/>
          <w:sz w:val="22"/>
          <w:szCs w:val="22"/>
        </w:rPr>
      </w:pPr>
      <w:r w:rsidRPr="0069209D">
        <w:rPr>
          <w:rFonts w:ascii="Cambria" w:hAnsi="Cambria" w:cs="Cambria"/>
          <w:sz w:val="22"/>
          <w:szCs w:val="22"/>
        </w:rPr>
        <w:t> </w:t>
      </w:r>
    </w:p>
    <w:p w14:paraId="1133BB6D" w14:textId="77777777" w:rsidR="003C5822" w:rsidRPr="003E7385" w:rsidRDefault="003C5822" w:rsidP="003C5822">
      <w:pPr>
        <w:widowControl w:val="0"/>
        <w:autoSpaceDE w:val="0"/>
        <w:autoSpaceDN w:val="0"/>
        <w:adjustRightInd w:val="0"/>
        <w:rPr>
          <w:rFonts w:asciiTheme="majorHAnsi" w:hAnsiTheme="majorHAnsi" w:cs="Cambria"/>
          <w:b/>
          <w:sz w:val="22"/>
          <w:szCs w:val="22"/>
        </w:rPr>
      </w:pPr>
      <w:r w:rsidRPr="003E7385">
        <w:rPr>
          <w:rFonts w:asciiTheme="majorHAnsi" w:hAnsiTheme="majorHAnsi" w:cs="Cambria"/>
          <w:b/>
          <w:sz w:val="22"/>
          <w:szCs w:val="22"/>
        </w:rPr>
        <w:t>Brazil:</w:t>
      </w:r>
    </w:p>
    <w:p w14:paraId="34DC6F5C" w14:textId="77777777" w:rsidR="003C5822" w:rsidRPr="0069209D" w:rsidRDefault="003C5822" w:rsidP="003C5822">
      <w:pPr>
        <w:widowControl w:val="0"/>
        <w:autoSpaceDE w:val="0"/>
        <w:autoSpaceDN w:val="0"/>
        <w:adjustRightInd w:val="0"/>
        <w:rPr>
          <w:rFonts w:ascii="Cambria" w:hAnsi="Cambria" w:cs="Cambria"/>
          <w:sz w:val="22"/>
          <w:szCs w:val="22"/>
        </w:rPr>
      </w:pPr>
    </w:p>
    <w:p w14:paraId="6BDDFA13" w14:textId="77777777" w:rsidR="003C5822" w:rsidRPr="0069209D" w:rsidRDefault="003C5822" w:rsidP="003C5822">
      <w:pPr>
        <w:pStyle w:val="ListParagraph"/>
        <w:numPr>
          <w:ilvl w:val="0"/>
          <w:numId w:val="2"/>
        </w:numPr>
        <w:rPr>
          <w:sz w:val="22"/>
          <w:szCs w:val="22"/>
        </w:rPr>
      </w:pPr>
      <w:r w:rsidRPr="0069209D">
        <w:rPr>
          <w:rFonts w:ascii="Cambria" w:hAnsi="Cambria" w:cs="Cambria"/>
          <w:sz w:val="22"/>
          <w:szCs w:val="22"/>
        </w:rPr>
        <w:t>From the ‘Vídeo nas Aldeias’ collective: </w:t>
      </w:r>
    </w:p>
    <w:p w14:paraId="20CF31E1" w14:textId="190454FC" w:rsidR="003C5822" w:rsidRPr="0069209D" w:rsidRDefault="003C5822" w:rsidP="003C5822">
      <w:pPr>
        <w:pStyle w:val="ListParagraph"/>
        <w:numPr>
          <w:ilvl w:val="1"/>
          <w:numId w:val="2"/>
        </w:numPr>
        <w:rPr>
          <w:sz w:val="22"/>
          <w:szCs w:val="22"/>
        </w:rPr>
      </w:pPr>
      <w:r w:rsidRPr="0069209D">
        <w:rPr>
          <w:rFonts w:ascii="Cambria" w:hAnsi="Cambria" w:cs="Cambria"/>
          <w:i/>
          <w:sz w:val="22"/>
          <w:szCs w:val="22"/>
        </w:rPr>
        <w:t>O espírito da TV</w:t>
      </w:r>
      <w:r w:rsidRPr="0069209D">
        <w:rPr>
          <w:rFonts w:ascii="Cambria" w:hAnsi="Cambria" w:cs="Cambria"/>
          <w:sz w:val="22"/>
          <w:szCs w:val="22"/>
        </w:rPr>
        <w:t>/</w:t>
      </w:r>
      <w:r w:rsidRPr="0069209D">
        <w:rPr>
          <w:rFonts w:ascii="Cambria" w:hAnsi="Cambria" w:cs="Cambria"/>
          <w:i/>
          <w:iCs/>
          <w:sz w:val="22"/>
          <w:szCs w:val="22"/>
        </w:rPr>
        <w:t>The Spirit of TV </w:t>
      </w:r>
      <w:r w:rsidRPr="0069209D">
        <w:rPr>
          <w:rFonts w:ascii="Cambria" w:hAnsi="Cambria" w:cs="Cambria"/>
          <w:sz w:val="22"/>
          <w:szCs w:val="22"/>
        </w:rPr>
        <w:t>(1990, 18 mins), at </w:t>
      </w:r>
      <w:hyperlink r:id="rId6" w:history="1">
        <w:r w:rsidRPr="00F433F9">
          <w:rPr>
            <w:rFonts w:ascii="Cambria" w:hAnsi="Cambria" w:cs="Cambria"/>
            <w:sz w:val="22"/>
            <w:szCs w:val="22"/>
            <w:u w:val="single" w:color="386EFF"/>
          </w:rPr>
          <w:t>http://www.isuma.tv/video-nas-aldeias/spirit-tv</w:t>
        </w:r>
      </w:hyperlink>
    </w:p>
    <w:p w14:paraId="185A823D" w14:textId="332646E4" w:rsidR="000834DD" w:rsidRPr="0069209D" w:rsidRDefault="003C5822" w:rsidP="003C5822">
      <w:pPr>
        <w:pStyle w:val="ListParagraph"/>
        <w:numPr>
          <w:ilvl w:val="1"/>
          <w:numId w:val="2"/>
        </w:numPr>
        <w:rPr>
          <w:sz w:val="22"/>
          <w:szCs w:val="22"/>
        </w:rPr>
      </w:pPr>
      <w:r w:rsidRPr="0069209D">
        <w:rPr>
          <w:rFonts w:ascii="Cambria" w:hAnsi="Cambria" w:cs="Cambria"/>
          <w:i/>
          <w:sz w:val="22"/>
          <w:szCs w:val="22"/>
        </w:rPr>
        <w:t>A arca das No’é</w:t>
      </w:r>
      <w:r w:rsidRPr="0069209D">
        <w:rPr>
          <w:rFonts w:ascii="Cambria" w:hAnsi="Cambria" w:cs="Cambria"/>
          <w:sz w:val="22"/>
          <w:szCs w:val="22"/>
        </w:rPr>
        <w:t>/</w:t>
      </w:r>
      <w:r w:rsidRPr="0069209D">
        <w:rPr>
          <w:rFonts w:ascii="Cambria" w:hAnsi="Cambria" w:cs="Cambria"/>
          <w:i/>
          <w:iCs/>
          <w:sz w:val="22"/>
          <w:szCs w:val="22"/>
        </w:rPr>
        <w:t>Meeting Ancestors</w:t>
      </w:r>
      <w:r w:rsidRPr="0069209D">
        <w:rPr>
          <w:rFonts w:ascii="Cambria" w:hAnsi="Cambria" w:cs="Cambria"/>
          <w:sz w:val="22"/>
          <w:szCs w:val="22"/>
        </w:rPr>
        <w:t xml:space="preserve"> (1993, 22 mins), at </w:t>
      </w:r>
      <w:hyperlink r:id="rId7" w:history="1">
        <w:r w:rsidRPr="00F433F9">
          <w:rPr>
            <w:rFonts w:ascii="Cambria" w:hAnsi="Cambria" w:cs="Cambria"/>
            <w:sz w:val="22"/>
            <w:szCs w:val="22"/>
            <w:u w:val="single" w:color="386EFF"/>
          </w:rPr>
          <w:t>http://www.isuma.tv/video-nas-aldeias/meeting-ancestors-arca-dos-zoé</w:t>
        </w:r>
      </w:hyperlink>
    </w:p>
    <w:p w14:paraId="76211BFE" w14:textId="77777777" w:rsidR="00CE636D" w:rsidRPr="0069209D" w:rsidRDefault="00CE636D" w:rsidP="00CE636D">
      <w:pPr>
        <w:pStyle w:val="ListParagraph"/>
        <w:widowControl w:val="0"/>
        <w:numPr>
          <w:ilvl w:val="0"/>
          <w:numId w:val="2"/>
        </w:numPr>
        <w:autoSpaceDE w:val="0"/>
        <w:autoSpaceDN w:val="0"/>
        <w:adjustRightInd w:val="0"/>
        <w:rPr>
          <w:rFonts w:ascii="Cambria" w:hAnsi="Cambria" w:cs="Cambria"/>
          <w:sz w:val="22"/>
          <w:szCs w:val="22"/>
        </w:rPr>
      </w:pPr>
      <w:r w:rsidRPr="0069209D">
        <w:rPr>
          <w:rFonts w:ascii="Cambria" w:hAnsi="Cambria" w:cs="Cambria"/>
          <w:i/>
          <w:iCs/>
          <w:sz w:val="22"/>
          <w:szCs w:val="22"/>
        </w:rPr>
        <w:t>Boca de lixo</w:t>
      </w:r>
      <w:r w:rsidRPr="0069209D">
        <w:rPr>
          <w:rFonts w:ascii="Cambria" w:hAnsi="Cambria" w:cs="Cambria"/>
          <w:sz w:val="22"/>
          <w:szCs w:val="22"/>
        </w:rPr>
        <w:t xml:space="preserve"> (Eduardo Coutinho, 1992, 50 mins) </w:t>
      </w:r>
    </w:p>
    <w:p w14:paraId="11990254" w14:textId="77777777" w:rsidR="005507CC" w:rsidRPr="0069209D" w:rsidRDefault="005507CC">
      <w:pPr>
        <w:rPr>
          <w:sz w:val="22"/>
          <w:szCs w:val="22"/>
        </w:rPr>
      </w:pPr>
    </w:p>
    <w:p w14:paraId="35FB1B12" w14:textId="425044D0" w:rsidR="005507CC" w:rsidRPr="0069209D" w:rsidRDefault="005507CC">
      <w:pPr>
        <w:rPr>
          <w:sz w:val="22"/>
          <w:szCs w:val="22"/>
        </w:rPr>
      </w:pPr>
      <w:r w:rsidRPr="0069209D">
        <w:rPr>
          <w:sz w:val="22"/>
          <w:szCs w:val="22"/>
        </w:rPr>
        <w:t xml:space="preserve">Films </w:t>
      </w:r>
      <w:r w:rsidR="003C5822" w:rsidRPr="0069209D">
        <w:rPr>
          <w:sz w:val="22"/>
          <w:szCs w:val="22"/>
        </w:rPr>
        <w:t xml:space="preserve">are </w:t>
      </w:r>
      <w:r w:rsidRPr="0069209D">
        <w:rPr>
          <w:sz w:val="22"/>
          <w:szCs w:val="22"/>
        </w:rPr>
        <w:t xml:space="preserve">available </w:t>
      </w:r>
      <w:r w:rsidR="003C5822" w:rsidRPr="0069209D">
        <w:rPr>
          <w:sz w:val="22"/>
          <w:szCs w:val="22"/>
        </w:rPr>
        <w:t>to borrow from</w:t>
      </w:r>
      <w:r w:rsidRPr="0069209D">
        <w:rPr>
          <w:sz w:val="22"/>
          <w:szCs w:val="22"/>
        </w:rPr>
        <w:t xml:space="preserve"> the Centre of Latin American Studies</w:t>
      </w:r>
      <w:r w:rsidR="003C5822" w:rsidRPr="0069209D">
        <w:rPr>
          <w:sz w:val="22"/>
          <w:szCs w:val="22"/>
        </w:rPr>
        <w:t xml:space="preserve"> (email Julie Coimbra, jac46@cam.ac.uk)</w:t>
      </w:r>
      <w:r w:rsidRPr="0069209D">
        <w:rPr>
          <w:sz w:val="22"/>
          <w:szCs w:val="22"/>
        </w:rPr>
        <w:t>.</w:t>
      </w:r>
    </w:p>
    <w:p w14:paraId="05CDAD72" w14:textId="77777777" w:rsidR="008D079D" w:rsidRPr="0069209D" w:rsidRDefault="008D079D">
      <w:pPr>
        <w:rPr>
          <w:sz w:val="22"/>
          <w:szCs w:val="22"/>
        </w:rPr>
      </w:pPr>
    </w:p>
    <w:p w14:paraId="3E83A6D6" w14:textId="77777777" w:rsidR="00C219F3" w:rsidRPr="0069209D" w:rsidRDefault="00C219F3">
      <w:pPr>
        <w:rPr>
          <w:sz w:val="22"/>
        </w:rPr>
      </w:pPr>
    </w:p>
    <w:p w14:paraId="26CD14E6" w14:textId="7AFB11BD" w:rsidR="00C21CD7" w:rsidRPr="0069209D" w:rsidRDefault="00C21CD7">
      <w:pPr>
        <w:rPr>
          <w:rFonts w:asciiTheme="majorHAnsi" w:hAnsiTheme="majorHAnsi"/>
          <w:b/>
        </w:rPr>
      </w:pPr>
      <w:r w:rsidRPr="0069209D">
        <w:rPr>
          <w:rFonts w:asciiTheme="majorHAnsi" w:hAnsiTheme="majorHAnsi"/>
          <w:b/>
        </w:rPr>
        <w:t>Quotations cited in lecture</w:t>
      </w:r>
    </w:p>
    <w:p w14:paraId="0B8B52FB" w14:textId="77777777" w:rsidR="00C21CD7" w:rsidRPr="000B78F2" w:rsidRDefault="00C21CD7">
      <w:pPr>
        <w:rPr>
          <w:rFonts w:asciiTheme="majorHAnsi" w:hAnsiTheme="majorHAnsi"/>
          <w:sz w:val="22"/>
          <w:szCs w:val="22"/>
        </w:rPr>
      </w:pPr>
    </w:p>
    <w:p w14:paraId="0CE48676" w14:textId="4380C576" w:rsidR="00C21CD7" w:rsidRPr="000B78F2" w:rsidRDefault="00CB4DFE">
      <w:pPr>
        <w:rPr>
          <w:rFonts w:cs="Arial"/>
          <w:color w:val="424242"/>
          <w:sz w:val="22"/>
          <w:szCs w:val="22"/>
        </w:rPr>
      </w:pPr>
      <w:r w:rsidRPr="000B78F2">
        <w:rPr>
          <w:rFonts w:cs="Arial"/>
          <w:color w:val="424242"/>
          <w:sz w:val="22"/>
          <w:szCs w:val="22"/>
        </w:rPr>
        <w:t xml:space="preserve">1. </w:t>
      </w:r>
      <w:r w:rsidR="000E2A9F" w:rsidRPr="000B78F2">
        <w:rPr>
          <w:rFonts w:cs="Arial"/>
          <w:color w:val="424242"/>
          <w:sz w:val="22"/>
          <w:szCs w:val="22"/>
        </w:rPr>
        <w:t>‘</w:t>
      </w:r>
      <w:r w:rsidR="00197EA6" w:rsidRPr="000B78F2">
        <w:rPr>
          <w:rFonts w:cs="Arial"/>
          <w:color w:val="424242"/>
          <w:sz w:val="22"/>
          <w:szCs w:val="22"/>
        </w:rPr>
        <w:t xml:space="preserve">No es poco este patrimonio de interculturalidad en una época en la cual la expansión global del capitalismo busca uniformar el diseño de tantos productos y subordinar los diferentes a patrones internacionales; cuando, por ejemplo, la mayoría de los estadounidenses no siente necesidad de saber más que inglés, conocer su propia historia e imaginar solo con su cine y televisión. </w:t>
      </w:r>
      <w:r w:rsidR="000E2A9F" w:rsidRPr="000B78F2">
        <w:rPr>
          <w:rFonts w:cs="Arial"/>
          <w:color w:val="424242"/>
          <w:sz w:val="22"/>
          <w:szCs w:val="22"/>
        </w:rPr>
        <w:t>Los pueblos indígenas tienen la ventaja de conocer al menos dos lenguas, articular recursos tradicionales y modernos, combinar el trabajo pago con el comunitario, la reciprocidad con la competencia mercantil.’</w:t>
      </w:r>
    </w:p>
    <w:p w14:paraId="440E88B6" w14:textId="56410112" w:rsidR="00197EA6" w:rsidRPr="000B78F2" w:rsidRDefault="00197EA6" w:rsidP="00197EA6">
      <w:pPr>
        <w:rPr>
          <w:sz w:val="20"/>
          <w:szCs w:val="20"/>
          <w:lang w:val="en-GB"/>
        </w:rPr>
      </w:pPr>
      <w:r w:rsidRPr="000B78F2">
        <w:rPr>
          <w:sz w:val="20"/>
          <w:szCs w:val="20"/>
          <w:lang w:val="en-GB"/>
        </w:rPr>
        <w:t xml:space="preserve">Néstor García Canclini, </w:t>
      </w:r>
      <w:r w:rsidRPr="000B78F2">
        <w:rPr>
          <w:i/>
          <w:sz w:val="20"/>
          <w:szCs w:val="20"/>
          <w:lang w:val="en-GB"/>
        </w:rPr>
        <w:t>Diferentes, desiguales y desconectados: mapas de la interculturalidad</w:t>
      </w:r>
      <w:r w:rsidRPr="000B78F2">
        <w:rPr>
          <w:sz w:val="20"/>
          <w:szCs w:val="20"/>
          <w:lang w:val="en-GB"/>
        </w:rPr>
        <w:t xml:space="preserve">, pp. 56. </w:t>
      </w:r>
    </w:p>
    <w:p w14:paraId="1DF917C7" w14:textId="77777777" w:rsidR="00197EA6" w:rsidRPr="000B78F2" w:rsidRDefault="00197EA6">
      <w:pPr>
        <w:rPr>
          <w:rFonts w:cs="Arial"/>
          <w:color w:val="424242"/>
          <w:sz w:val="22"/>
          <w:szCs w:val="22"/>
        </w:rPr>
      </w:pPr>
    </w:p>
    <w:p w14:paraId="5CD224CF" w14:textId="36C9A8D8" w:rsidR="00CB4DFE" w:rsidRPr="000B78F2" w:rsidRDefault="00CB4DFE" w:rsidP="00CB4DFE">
      <w:pPr>
        <w:ind w:right="567"/>
        <w:rPr>
          <w:rFonts w:ascii="Cambria" w:hAnsi="Cambria" w:cs="Cambria"/>
          <w:sz w:val="22"/>
          <w:szCs w:val="22"/>
        </w:rPr>
      </w:pPr>
      <w:r w:rsidRPr="000B78F2">
        <w:rPr>
          <w:rFonts w:cs="Arial"/>
          <w:color w:val="424242"/>
          <w:sz w:val="22"/>
          <w:szCs w:val="22"/>
        </w:rPr>
        <w:t>2. ‘</w:t>
      </w:r>
      <w:r w:rsidRPr="000B78F2">
        <w:rPr>
          <w:rFonts w:ascii="Cambria" w:hAnsi="Cambria" w:cs="Cambria"/>
          <w:sz w:val="22"/>
          <w:szCs w:val="22"/>
        </w:rPr>
        <w:t>Parecen agotarse los modelos de una época en que creíamos que cada nación podía combinar sus muchas culturas, más las que iban llegando, en un solo “caldero”, ser un “crisol de razas”, como declaran constituciones y discursos.</w:t>
      </w:r>
    </w:p>
    <w:p w14:paraId="2015546C" w14:textId="04DB09F8" w:rsidR="00CB4DFE" w:rsidRPr="000B78F2" w:rsidRDefault="00CB4DFE" w:rsidP="00CB4DFE">
      <w:pPr>
        <w:rPr>
          <w:rFonts w:cs="Arial"/>
          <w:color w:val="424242"/>
          <w:sz w:val="22"/>
          <w:szCs w:val="22"/>
        </w:rPr>
      </w:pPr>
      <w:r w:rsidRPr="000B78F2">
        <w:rPr>
          <w:rFonts w:ascii="Cambria" w:hAnsi="Cambria" w:cs="Cambria"/>
          <w:sz w:val="22"/>
          <w:szCs w:val="22"/>
        </w:rPr>
        <w:t xml:space="preserve">De un mundo </w:t>
      </w:r>
      <w:r w:rsidRPr="000B78F2">
        <w:rPr>
          <w:rFonts w:ascii="Cambria" w:hAnsi="Cambria" w:cs="Cambria"/>
          <w:i/>
          <w:sz w:val="22"/>
          <w:szCs w:val="22"/>
        </w:rPr>
        <w:t>multicultural</w:t>
      </w:r>
      <w:r w:rsidRPr="000B78F2">
        <w:rPr>
          <w:rFonts w:ascii="Cambria" w:hAnsi="Cambria" w:cs="Cambria"/>
          <w:sz w:val="22"/>
          <w:szCs w:val="22"/>
        </w:rPr>
        <w:t xml:space="preserve"> – yuxtaposición de etnias o grupos en una ciudad o nación – pasamos a otro </w:t>
      </w:r>
      <w:r w:rsidRPr="000B78F2">
        <w:rPr>
          <w:rFonts w:ascii="Cambria" w:hAnsi="Cambria" w:cs="Cambria"/>
          <w:i/>
          <w:sz w:val="22"/>
          <w:szCs w:val="22"/>
        </w:rPr>
        <w:t>intercultural</w:t>
      </w:r>
      <w:r w:rsidRPr="000B78F2">
        <w:rPr>
          <w:rFonts w:ascii="Cambria" w:hAnsi="Cambria" w:cs="Cambria"/>
          <w:sz w:val="22"/>
          <w:szCs w:val="22"/>
        </w:rPr>
        <w:t xml:space="preserve"> globalizado. Bajo concepciones multiculturales se admite la </w:t>
      </w:r>
      <w:r w:rsidRPr="000B78F2">
        <w:rPr>
          <w:rFonts w:ascii="Cambria" w:hAnsi="Cambria" w:cs="Cambria"/>
          <w:i/>
          <w:sz w:val="22"/>
          <w:szCs w:val="22"/>
        </w:rPr>
        <w:t>diversidad</w:t>
      </w:r>
      <w:r w:rsidRPr="000B78F2">
        <w:rPr>
          <w:rFonts w:ascii="Cambria" w:hAnsi="Cambria" w:cs="Cambria"/>
          <w:sz w:val="22"/>
          <w:szCs w:val="22"/>
        </w:rPr>
        <w:t xml:space="preserve"> de culturas, subrayando su diferencia y proponiendo políticas relativistas de respeto, que a menudo refuerzan la segregación. En cambio, interculturalidad remite a la confrontación y el entrelazamiento, a lo que sucede cuando los grupos entran en relaciones e intercambios.’</w:t>
      </w:r>
    </w:p>
    <w:p w14:paraId="65AC937C" w14:textId="0C559BB9" w:rsidR="00CB4DFE" w:rsidRPr="000B78F2" w:rsidRDefault="00CB4DFE" w:rsidP="00CB4DFE">
      <w:pPr>
        <w:rPr>
          <w:sz w:val="20"/>
          <w:szCs w:val="20"/>
          <w:lang w:val="en-GB"/>
        </w:rPr>
      </w:pPr>
      <w:r w:rsidRPr="000B78F2">
        <w:rPr>
          <w:sz w:val="20"/>
          <w:szCs w:val="20"/>
          <w:lang w:val="en-GB"/>
        </w:rPr>
        <w:t xml:space="preserve">Néstor García Canclini, </w:t>
      </w:r>
      <w:r w:rsidRPr="000B78F2">
        <w:rPr>
          <w:i/>
          <w:sz w:val="20"/>
          <w:szCs w:val="20"/>
          <w:lang w:val="en-GB"/>
        </w:rPr>
        <w:t>Diferentes, desiguales y desconectados: mapas de la interculturalidad</w:t>
      </w:r>
      <w:r w:rsidRPr="000B78F2">
        <w:rPr>
          <w:sz w:val="20"/>
          <w:szCs w:val="20"/>
          <w:lang w:val="en-GB"/>
        </w:rPr>
        <w:t xml:space="preserve">, pp. 14-15. </w:t>
      </w:r>
    </w:p>
    <w:p w14:paraId="45A37987" w14:textId="77777777" w:rsidR="0034012A" w:rsidRPr="000B78F2" w:rsidRDefault="0034012A" w:rsidP="000B78F2">
      <w:pPr>
        <w:rPr>
          <w:sz w:val="22"/>
          <w:szCs w:val="22"/>
          <w:lang w:val="en-GB"/>
        </w:rPr>
      </w:pPr>
    </w:p>
    <w:p w14:paraId="2B79F9B3" w14:textId="266A27EC" w:rsidR="0034012A" w:rsidRPr="000B78F2" w:rsidRDefault="0034012A" w:rsidP="000B78F2">
      <w:pPr>
        <w:rPr>
          <w:rFonts w:cs="Times"/>
          <w:sz w:val="22"/>
          <w:szCs w:val="22"/>
        </w:rPr>
      </w:pPr>
      <w:r w:rsidRPr="000B78F2">
        <w:rPr>
          <w:sz w:val="22"/>
          <w:szCs w:val="22"/>
          <w:lang w:val="en-GB"/>
        </w:rPr>
        <w:t>3.</w:t>
      </w:r>
      <w:r w:rsidR="000B78F2" w:rsidRPr="000B78F2">
        <w:rPr>
          <w:sz w:val="22"/>
          <w:szCs w:val="22"/>
          <w:lang w:val="en-GB"/>
        </w:rPr>
        <w:t xml:space="preserve"> ‘</w:t>
      </w:r>
      <w:r w:rsidR="000B78F2" w:rsidRPr="000B78F2">
        <w:rPr>
          <w:rFonts w:cs="Arial"/>
          <w:sz w:val="22"/>
          <w:szCs w:val="22"/>
        </w:rPr>
        <w:t>The Waiãpi decide to meet the tribe that they saw on the TV, the Zo’é and take [the video camera] to record and compare rites and myths, in a meta-anthropology in which a group passes from object to subject of knowledge. Anthropological homework for the Indians themselves, who, placed in a position of command, of producers of the images of their “relatives” become participating observers, analysts, “theoreticians” of this situation.’</w:t>
      </w:r>
    </w:p>
    <w:p w14:paraId="771690FD" w14:textId="4481783F" w:rsidR="0034012A" w:rsidRPr="000B78F2" w:rsidRDefault="0034012A" w:rsidP="000B78F2">
      <w:pPr>
        <w:rPr>
          <w:rFonts w:cs="Times"/>
          <w:sz w:val="20"/>
          <w:szCs w:val="20"/>
        </w:rPr>
      </w:pPr>
      <w:r w:rsidRPr="000B78F2">
        <w:rPr>
          <w:rFonts w:cs="Arial"/>
          <w:bCs/>
          <w:sz w:val="20"/>
          <w:szCs w:val="20"/>
        </w:rPr>
        <w:t xml:space="preserve">Ivana Bentes, “Camera very good for me to work,” </w:t>
      </w:r>
      <w:r w:rsidR="000B78F2" w:rsidRPr="000B78F2">
        <w:rPr>
          <w:rFonts w:cs="Arial"/>
          <w:bCs/>
          <w:sz w:val="20"/>
          <w:szCs w:val="20"/>
        </w:rPr>
        <w:t xml:space="preserve">p. 2. </w:t>
      </w:r>
      <w:r w:rsidRPr="000B78F2">
        <w:rPr>
          <w:rFonts w:cs="Arial"/>
          <w:bCs/>
          <w:sz w:val="20"/>
          <w:szCs w:val="20"/>
        </w:rPr>
        <w:t>http://www.videonasaldeias.org.br/2009/biblioteca.php?c=11</w:t>
      </w:r>
    </w:p>
    <w:p w14:paraId="016D1C2D" w14:textId="77777777" w:rsidR="0034012A" w:rsidRPr="000B78F2" w:rsidRDefault="0034012A" w:rsidP="000B78F2">
      <w:pPr>
        <w:rPr>
          <w:sz w:val="22"/>
          <w:szCs w:val="22"/>
          <w:lang w:val="en-GB"/>
        </w:rPr>
      </w:pPr>
    </w:p>
    <w:p w14:paraId="7430EC29" w14:textId="28B657FE" w:rsidR="0034012A" w:rsidRPr="000B78F2" w:rsidRDefault="0034012A" w:rsidP="000B78F2">
      <w:pPr>
        <w:rPr>
          <w:rFonts w:cs="Arial"/>
          <w:sz w:val="22"/>
          <w:szCs w:val="22"/>
        </w:rPr>
      </w:pPr>
      <w:r w:rsidRPr="000B78F2">
        <w:rPr>
          <w:sz w:val="22"/>
          <w:szCs w:val="22"/>
          <w:lang w:val="en-GB"/>
        </w:rPr>
        <w:t>4. ‘</w:t>
      </w:r>
      <w:r w:rsidRPr="000B78F2">
        <w:rPr>
          <w:rFonts w:cs="Arial"/>
          <w:sz w:val="22"/>
          <w:szCs w:val="22"/>
        </w:rPr>
        <w:t>On introducing video, a new technology, into village life, the project also challenges the idea of “purity”, “isolation”, “conservation” that would condemn these multiple and unique communities to a kind of “museum” status.’</w:t>
      </w:r>
    </w:p>
    <w:p w14:paraId="765A6E08" w14:textId="3CD8C2D5" w:rsidR="0034012A" w:rsidRPr="000B78F2" w:rsidRDefault="0034012A" w:rsidP="000B78F2">
      <w:pPr>
        <w:rPr>
          <w:rFonts w:cs="Times"/>
          <w:sz w:val="20"/>
          <w:szCs w:val="20"/>
        </w:rPr>
      </w:pPr>
      <w:r w:rsidRPr="000B78F2">
        <w:rPr>
          <w:rFonts w:cs="Arial"/>
          <w:bCs/>
          <w:sz w:val="20"/>
          <w:szCs w:val="20"/>
        </w:rPr>
        <w:t>Ivana Bentes, “Camera very good for me to work,” p. 1. http://www.videonasaldeias.org.br/2009/biblioteca.php?c=11</w:t>
      </w:r>
    </w:p>
    <w:p w14:paraId="62B73553" w14:textId="77777777" w:rsidR="000B78F2" w:rsidRPr="000B78F2" w:rsidRDefault="000B78F2" w:rsidP="000B78F2">
      <w:pPr>
        <w:rPr>
          <w:rFonts w:cs="Times"/>
          <w:sz w:val="22"/>
          <w:szCs w:val="22"/>
        </w:rPr>
      </w:pPr>
    </w:p>
    <w:p w14:paraId="7DCCB6D5" w14:textId="58C29B9D" w:rsidR="000B78F2" w:rsidRPr="000B78F2" w:rsidRDefault="000B78F2" w:rsidP="000B78F2">
      <w:pPr>
        <w:rPr>
          <w:sz w:val="22"/>
          <w:szCs w:val="22"/>
        </w:rPr>
      </w:pPr>
      <w:r w:rsidRPr="000B78F2">
        <w:rPr>
          <w:rFonts w:cs="Times"/>
          <w:sz w:val="22"/>
          <w:szCs w:val="22"/>
        </w:rPr>
        <w:t xml:space="preserve">5. </w:t>
      </w:r>
      <w:r w:rsidRPr="000B78F2">
        <w:rPr>
          <w:sz w:val="22"/>
          <w:szCs w:val="22"/>
        </w:rPr>
        <w:t>‘Ethnographic film and video, which were once seen as reinforcing established cultural boundaries, are increasingly seen as part of a wider spectrum of cultural representations, much of which is devoted to the very problematics and contradictions of maintaining discrete, indigenous cultures.’</w:t>
      </w:r>
    </w:p>
    <w:p w14:paraId="01CF83DA" w14:textId="10D35ECF" w:rsidR="000B78F2" w:rsidRPr="000B78F2" w:rsidRDefault="000B78F2" w:rsidP="000B78F2">
      <w:pPr>
        <w:rPr>
          <w:rFonts w:cs="Times New Roman"/>
          <w:sz w:val="20"/>
          <w:szCs w:val="20"/>
        </w:rPr>
      </w:pPr>
      <w:r w:rsidRPr="000B78F2">
        <w:rPr>
          <w:rFonts w:cs="Times New Roman"/>
          <w:sz w:val="20"/>
          <w:szCs w:val="20"/>
        </w:rPr>
        <w:t xml:space="preserve">David MacDougall, </w:t>
      </w:r>
      <w:r w:rsidRPr="000B78F2">
        <w:rPr>
          <w:rFonts w:cs="Times New Roman"/>
          <w:i/>
          <w:iCs/>
          <w:sz w:val="20"/>
          <w:szCs w:val="20"/>
        </w:rPr>
        <w:t>Transcultural Cinema</w:t>
      </w:r>
      <w:r w:rsidRPr="000B78F2">
        <w:rPr>
          <w:rFonts w:cs="Times New Roman"/>
          <w:sz w:val="20"/>
          <w:szCs w:val="20"/>
        </w:rPr>
        <w:t>, p. 261.</w:t>
      </w:r>
    </w:p>
    <w:p w14:paraId="28B54419" w14:textId="77777777" w:rsidR="000B78F2" w:rsidRPr="000B78F2" w:rsidRDefault="000B78F2" w:rsidP="000B78F2">
      <w:pPr>
        <w:rPr>
          <w:sz w:val="22"/>
          <w:szCs w:val="22"/>
        </w:rPr>
      </w:pPr>
    </w:p>
    <w:p w14:paraId="5EAF8285" w14:textId="77777777" w:rsidR="000B78F2" w:rsidRPr="000B78F2" w:rsidRDefault="000B78F2" w:rsidP="000B78F2">
      <w:pPr>
        <w:rPr>
          <w:sz w:val="22"/>
          <w:szCs w:val="22"/>
        </w:rPr>
      </w:pPr>
      <w:r w:rsidRPr="000B78F2">
        <w:rPr>
          <w:sz w:val="22"/>
          <w:szCs w:val="22"/>
        </w:rPr>
        <w:t>6. ‘I think we are already seeing the changes in a new emphasis on authorship and specific cultural perspectives. Films are less often posed as omniscient or definitive descriptions […]. Societies are no longer portrayed as monolithic, or unpenetrated by external and historical forces. […]</w:t>
      </w:r>
    </w:p>
    <w:p w14:paraId="65B3AE1F" w14:textId="0E2F0408" w:rsidR="000B78F2" w:rsidRPr="000B78F2" w:rsidRDefault="000B78F2" w:rsidP="000B78F2">
      <w:pPr>
        <w:rPr>
          <w:rFonts w:cs="Times"/>
          <w:sz w:val="22"/>
          <w:szCs w:val="22"/>
        </w:rPr>
      </w:pPr>
      <w:r w:rsidRPr="000B78F2">
        <w:rPr>
          <w:sz w:val="22"/>
          <w:szCs w:val="22"/>
        </w:rPr>
        <w:t>I think we will therefore see films which become repositories of multiple authorship, confrontation and exchange.’</w:t>
      </w:r>
    </w:p>
    <w:p w14:paraId="06B8DB98" w14:textId="03888DD1" w:rsidR="0034012A" w:rsidRPr="000B78F2" w:rsidRDefault="000B78F2" w:rsidP="000B78F2">
      <w:pPr>
        <w:rPr>
          <w:sz w:val="20"/>
          <w:szCs w:val="20"/>
          <w:lang w:val="en-GB"/>
        </w:rPr>
      </w:pPr>
      <w:r w:rsidRPr="000B78F2">
        <w:rPr>
          <w:sz w:val="20"/>
          <w:szCs w:val="20"/>
        </w:rPr>
        <w:t>David MacDougall, “Complicities of Style,” p. 97.</w:t>
      </w:r>
    </w:p>
    <w:p w14:paraId="24A77EEB" w14:textId="77777777" w:rsidR="00C21CD7" w:rsidRPr="0069209D" w:rsidRDefault="00C21CD7">
      <w:pPr>
        <w:rPr>
          <w:rFonts w:asciiTheme="majorHAnsi" w:hAnsiTheme="majorHAnsi"/>
          <w:b/>
        </w:rPr>
      </w:pPr>
    </w:p>
    <w:p w14:paraId="5BA430F7" w14:textId="77777777" w:rsidR="008D079D" w:rsidRPr="0069209D" w:rsidRDefault="008D079D">
      <w:pPr>
        <w:rPr>
          <w:rFonts w:asciiTheme="majorHAnsi" w:hAnsiTheme="majorHAnsi"/>
          <w:b/>
        </w:rPr>
      </w:pPr>
      <w:r w:rsidRPr="0069209D">
        <w:rPr>
          <w:rFonts w:asciiTheme="majorHAnsi" w:hAnsiTheme="majorHAnsi"/>
          <w:b/>
        </w:rPr>
        <w:t>Bibliography</w:t>
      </w:r>
    </w:p>
    <w:p w14:paraId="22833E44" w14:textId="77777777" w:rsidR="00C21CD7" w:rsidRPr="0069209D" w:rsidRDefault="00C21CD7">
      <w:pPr>
        <w:rPr>
          <w:rFonts w:asciiTheme="majorHAnsi" w:hAnsiTheme="majorHAnsi"/>
          <w:b/>
          <w:sz w:val="22"/>
          <w:szCs w:val="22"/>
        </w:rPr>
      </w:pPr>
    </w:p>
    <w:p w14:paraId="481D370F" w14:textId="77777777" w:rsidR="00C21CD7" w:rsidRPr="0069209D" w:rsidRDefault="00C21CD7">
      <w:pPr>
        <w:rPr>
          <w:rFonts w:asciiTheme="majorHAnsi" w:hAnsiTheme="majorHAnsi"/>
          <w:b/>
          <w:sz w:val="22"/>
          <w:szCs w:val="22"/>
        </w:rPr>
      </w:pPr>
      <w:r w:rsidRPr="0069209D">
        <w:rPr>
          <w:rFonts w:asciiTheme="majorHAnsi" w:hAnsiTheme="majorHAnsi"/>
          <w:b/>
          <w:sz w:val="22"/>
          <w:szCs w:val="22"/>
        </w:rPr>
        <w:t>On ethnographic filmmaking</w:t>
      </w:r>
    </w:p>
    <w:p w14:paraId="694D901A" w14:textId="77777777" w:rsidR="00C21CD7" w:rsidRPr="0069209D" w:rsidRDefault="00C21CD7">
      <w:pPr>
        <w:rPr>
          <w:rFonts w:asciiTheme="majorHAnsi" w:hAnsiTheme="majorHAnsi"/>
          <w:b/>
          <w:sz w:val="22"/>
          <w:szCs w:val="22"/>
        </w:rPr>
      </w:pPr>
    </w:p>
    <w:p w14:paraId="4EE8AE31" w14:textId="77777777" w:rsidR="003E7385" w:rsidRPr="003E7385" w:rsidRDefault="003E7385" w:rsidP="003E7385">
      <w:pPr>
        <w:ind w:left="567" w:hanging="567"/>
        <w:rPr>
          <w:rFonts w:cs="Cambria"/>
          <w:sz w:val="22"/>
          <w:szCs w:val="22"/>
        </w:rPr>
      </w:pPr>
      <w:r w:rsidRPr="003E7385">
        <w:rPr>
          <w:rFonts w:cs="Cambria"/>
          <w:sz w:val="22"/>
          <w:szCs w:val="22"/>
        </w:rPr>
        <w:t xml:space="preserve">Córdova, Amalia. “Reenact, Reimagine: Performative Indigenous Documentaries of Bolivia and Brazil.” In </w:t>
      </w:r>
      <w:r w:rsidRPr="003E7385">
        <w:rPr>
          <w:rFonts w:cs="Cambria"/>
          <w:i/>
          <w:sz w:val="22"/>
          <w:szCs w:val="22"/>
        </w:rPr>
        <w:t>New Documentaries in Latin America</w:t>
      </w:r>
      <w:r w:rsidRPr="003E7385">
        <w:rPr>
          <w:rFonts w:cs="Cambria"/>
          <w:sz w:val="22"/>
          <w:szCs w:val="22"/>
        </w:rPr>
        <w:t>, edited by Vinicius Navarro and Juan Carlos Rodríguez, 123-44. Basingstoke: Palgrave Macmillan, 2014.</w:t>
      </w:r>
    </w:p>
    <w:p w14:paraId="5DC48538" w14:textId="77777777" w:rsidR="003E7385" w:rsidRPr="003E7385" w:rsidRDefault="003E7385" w:rsidP="003E7385">
      <w:pPr>
        <w:widowControl w:val="0"/>
        <w:autoSpaceDE w:val="0"/>
        <w:autoSpaceDN w:val="0"/>
        <w:adjustRightInd w:val="0"/>
        <w:ind w:left="567" w:hanging="567"/>
        <w:rPr>
          <w:rFonts w:cs="Times"/>
          <w:sz w:val="22"/>
          <w:szCs w:val="22"/>
        </w:rPr>
      </w:pPr>
      <w:r w:rsidRPr="003E7385">
        <w:rPr>
          <w:rFonts w:cs="Times"/>
          <w:sz w:val="22"/>
          <w:szCs w:val="22"/>
        </w:rPr>
        <w:t xml:space="preserve">Faris, James. “Anthropological Transparency, Film, Representation and Politics.” In </w:t>
      </w:r>
      <w:r w:rsidRPr="003E7385">
        <w:rPr>
          <w:rFonts w:cs="Times"/>
          <w:i/>
          <w:iCs/>
          <w:sz w:val="22"/>
          <w:szCs w:val="22"/>
        </w:rPr>
        <w:t>Film as Ethnography</w:t>
      </w:r>
      <w:r w:rsidRPr="003E7385">
        <w:rPr>
          <w:rFonts w:cs="Times"/>
          <w:sz w:val="22"/>
          <w:szCs w:val="22"/>
        </w:rPr>
        <w:t>, edited by Peter Crawford and David Turton, 171–82. Manchester: University of Manchester Press, 1992.</w:t>
      </w:r>
    </w:p>
    <w:p w14:paraId="046DEFE3" w14:textId="77777777" w:rsidR="003E7385" w:rsidRPr="003E7385" w:rsidRDefault="003E7385" w:rsidP="003E7385">
      <w:pPr>
        <w:ind w:left="567" w:hanging="567"/>
        <w:rPr>
          <w:sz w:val="22"/>
          <w:szCs w:val="22"/>
        </w:rPr>
      </w:pPr>
      <w:r w:rsidRPr="003E7385">
        <w:rPr>
          <w:rFonts w:cs="Times"/>
          <w:sz w:val="22"/>
          <w:szCs w:val="22"/>
        </w:rPr>
        <w:t>Grimshaw, Anna. The Ethnographer’s Eye: Ways of seeing in Modern Anthropology. Cambridge: Cambridge University Press, 2001.</w:t>
      </w:r>
    </w:p>
    <w:p w14:paraId="08988613" w14:textId="77777777" w:rsidR="003E7385" w:rsidRPr="003E7385" w:rsidRDefault="003E7385" w:rsidP="003E7385">
      <w:pPr>
        <w:widowControl w:val="0"/>
        <w:autoSpaceDE w:val="0"/>
        <w:autoSpaceDN w:val="0"/>
        <w:adjustRightInd w:val="0"/>
        <w:ind w:left="567" w:hanging="567"/>
        <w:rPr>
          <w:rFonts w:cs="Times New Roman"/>
          <w:sz w:val="22"/>
          <w:szCs w:val="22"/>
        </w:rPr>
      </w:pPr>
      <w:r w:rsidRPr="003E7385">
        <w:rPr>
          <w:rFonts w:cs="Times New Roman"/>
          <w:sz w:val="22"/>
          <w:szCs w:val="22"/>
        </w:rPr>
        <w:t>Hernández, Isabel. “El cine antropológico y la autogestión indígena.” In </w:t>
      </w:r>
      <w:r w:rsidRPr="003E7385">
        <w:rPr>
          <w:rFonts w:cs="Times New Roman"/>
          <w:i/>
          <w:iCs/>
          <w:sz w:val="22"/>
          <w:szCs w:val="22"/>
        </w:rPr>
        <w:t>Cine, antropología y colonialismo</w:t>
      </w:r>
      <w:r w:rsidRPr="003E7385">
        <w:rPr>
          <w:rFonts w:cs="Times New Roman"/>
          <w:sz w:val="22"/>
          <w:szCs w:val="22"/>
        </w:rPr>
        <w:t>, edited by Adolfo Colombres, 2nd ed., 141–59. Buenos Aires: Ediciones Del Sol, 2005.</w:t>
      </w:r>
    </w:p>
    <w:p w14:paraId="0D9983AF" w14:textId="77777777" w:rsidR="003E7385" w:rsidRPr="003E7385" w:rsidRDefault="003E7385" w:rsidP="003E7385">
      <w:pPr>
        <w:ind w:left="567" w:hanging="567"/>
        <w:rPr>
          <w:sz w:val="22"/>
          <w:szCs w:val="22"/>
        </w:rPr>
      </w:pPr>
      <w:r w:rsidRPr="003E7385">
        <w:rPr>
          <w:sz w:val="22"/>
          <w:szCs w:val="22"/>
        </w:rPr>
        <w:t xml:space="preserve">Loizos, Peter. </w:t>
      </w:r>
      <w:r w:rsidRPr="003E7385">
        <w:rPr>
          <w:i/>
          <w:sz w:val="22"/>
          <w:szCs w:val="22"/>
        </w:rPr>
        <w:t>Innovation in Ethnographic Film: From Innocence to Self-Consciousness, 1955-1985</w:t>
      </w:r>
      <w:r w:rsidRPr="003E7385">
        <w:rPr>
          <w:sz w:val="22"/>
          <w:szCs w:val="22"/>
        </w:rPr>
        <w:t>. Manchester: Manchester University Press, 1993.</w:t>
      </w:r>
    </w:p>
    <w:p w14:paraId="7C4B4C52" w14:textId="77777777" w:rsidR="0069209D" w:rsidRPr="003E7385" w:rsidRDefault="0069209D" w:rsidP="003E7385">
      <w:pPr>
        <w:pStyle w:val="Bibliography"/>
        <w:ind w:left="567" w:hanging="567"/>
        <w:rPr>
          <w:sz w:val="22"/>
          <w:szCs w:val="22"/>
        </w:rPr>
      </w:pPr>
      <w:r w:rsidRPr="003E7385">
        <w:rPr>
          <w:sz w:val="22"/>
          <w:szCs w:val="22"/>
        </w:rPr>
        <w:t xml:space="preserve">MacDougall, David. “Complicities of Style.” In </w:t>
      </w:r>
      <w:r w:rsidRPr="003E7385">
        <w:rPr>
          <w:i/>
          <w:iCs/>
          <w:sz w:val="22"/>
          <w:szCs w:val="22"/>
        </w:rPr>
        <w:t>Film as Ethnography</w:t>
      </w:r>
      <w:r w:rsidRPr="003E7385">
        <w:rPr>
          <w:sz w:val="22"/>
          <w:szCs w:val="22"/>
        </w:rPr>
        <w:t>, edited by Peter Ian Crawford and David Turton, 90–98. Manchester; New York: Manchester University Press, 1992.</w:t>
      </w:r>
    </w:p>
    <w:p w14:paraId="6FBBD9B3" w14:textId="77777777" w:rsidR="0069209D" w:rsidRPr="003E7385" w:rsidRDefault="0069209D" w:rsidP="003E7385">
      <w:pPr>
        <w:pStyle w:val="Bibliography"/>
        <w:ind w:left="567" w:hanging="567"/>
        <w:rPr>
          <w:sz w:val="22"/>
          <w:szCs w:val="22"/>
        </w:rPr>
      </w:pPr>
      <w:r w:rsidRPr="003E7385">
        <w:rPr>
          <w:sz w:val="22"/>
          <w:szCs w:val="22"/>
        </w:rPr>
        <w:t xml:space="preserve">———. </w:t>
      </w:r>
      <w:r w:rsidRPr="003E7385">
        <w:rPr>
          <w:i/>
          <w:iCs/>
          <w:sz w:val="22"/>
          <w:szCs w:val="22"/>
        </w:rPr>
        <w:t>Transcultural Cinema</w:t>
      </w:r>
      <w:r w:rsidRPr="003E7385">
        <w:rPr>
          <w:sz w:val="22"/>
          <w:szCs w:val="22"/>
        </w:rPr>
        <w:t>. Princeton: Princeton University Press, 1998.</w:t>
      </w:r>
    </w:p>
    <w:p w14:paraId="58682535" w14:textId="63A1B8B1" w:rsidR="003E7385" w:rsidRPr="003E7385" w:rsidRDefault="003E7385" w:rsidP="003E7385">
      <w:pPr>
        <w:widowControl w:val="0"/>
        <w:autoSpaceDE w:val="0"/>
        <w:autoSpaceDN w:val="0"/>
        <w:adjustRightInd w:val="0"/>
        <w:ind w:left="567" w:hanging="567"/>
        <w:rPr>
          <w:rFonts w:cs="Arial"/>
          <w:bCs/>
          <w:color w:val="262626"/>
          <w:sz w:val="22"/>
          <w:szCs w:val="22"/>
        </w:rPr>
      </w:pPr>
      <w:r w:rsidRPr="003E7385">
        <w:rPr>
          <w:rFonts w:cs="Arial"/>
          <w:color w:val="262626"/>
          <w:sz w:val="22"/>
          <w:szCs w:val="22"/>
        </w:rPr>
        <w:t xml:space="preserve">Nichols, Bill. </w:t>
      </w:r>
      <w:r w:rsidRPr="003E7385">
        <w:rPr>
          <w:rFonts w:cs="Arial"/>
          <w:bCs/>
          <w:i/>
          <w:color w:val="262626"/>
          <w:sz w:val="22"/>
          <w:szCs w:val="22"/>
        </w:rPr>
        <w:t>Blurred Boundaries: Questions of Meaning in Contemporary Culture</w:t>
      </w:r>
      <w:r w:rsidRPr="003E7385">
        <w:rPr>
          <w:rFonts w:cs="Arial"/>
          <w:bCs/>
          <w:color w:val="262626"/>
          <w:sz w:val="22"/>
          <w:szCs w:val="22"/>
        </w:rPr>
        <w:t xml:space="preserve">. </w:t>
      </w:r>
      <w:r w:rsidRPr="003E7385">
        <w:rPr>
          <w:rFonts w:cs="Helvetica"/>
          <w:color w:val="1C1C1C"/>
          <w:sz w:val="22"/>
          <w:szCs w:val="22"/>
        </w:rPr>
        <w:t>Bloomington: Indiana University Press, 1994</w:t>
      </w:r>
      <w:r w:rsidR="00BA0324">
        <w:rPr>
          <w:rFonts w:cs="Helvetica"/>
          <w:color w:val="1C1C1C"/>
          <w:sz w:val="22"/>
          <w:szCs w:val="22"/>
        </w:rPr>
        <w:t>.</w:t>
      </w:r>
      <w:r w:rsidRPr="003E7385">
        <w:rPr>
          <w:rFonts w:cs="Helvetica"/>
          <w:color w:val="1C1C1C"/>
          <w:sz w:val="22"/>
          <w:szCs w:val="22"/>
        </w:rPr>
        <w:t xml:space="preserve"> [“The Ethnographer’s Tale”, 63-91]</w:t>
      </w:r>
    </w:p>
    <w:p w14:paraId="26740674" w14:textId="77777777" w:rsidR="0069209D" w:rsidRPr="003E7385" w:rsidRDefault="0069209D" w:rsidP="003E7385">
      <w:pPr>
        <w:pStyle w:val="Bibliography"/>
        <w:ind w:left="567" w:hanging="567"/>
        <w:rPr>
          <w:sz w:val="22"/>
          <w:szCs w:val="22"/>
        </w:rPr>
      </w:pPr>
      <w:r w:rsidRPr="003E7385">
        <w:rPr>
          <w:sz w:val="22"/>
          <w:szCs w:val="22"/>
        </w:rPr>
        <w:t xml:space="preserve">Ruby, Jay. “Ethnography as Trompe l’Oeil: Film and Anthropology.” In </w:t>
      </w:r>
      <w:r w:rsidRPr="003E7385">
        <w:rPr>
          <w:i/>
          <w:iCs/>
          <w:sz w:val="22"/>
          <w:szCs w:val="22"/>
        </w:rPr>
        <w:t>A Crack in the Mirror: Reflexive Perspectives in Anthropology</w:t>
      </w:r>
      <w:r w:rsidRPr="003E7385">
        <w:rPr>
          <w:sz w:val="22"/>
          <w:szCs w:val="22"/>
        </w:rPr>
        <w:t>, edited by Jay Ruby, 121–31. Philadelphia: University of Pennsylvania Press, 1982.</w:t>
      </w:r>
    </w:p>
    <w:p w14:paraId="2F601A19" w14:textId="77777777" w:rsidR="003E7385" w:rsidRDefault="003E7385" w:rsidP="003E7385">
      <w:pPr>
        <w:widowControl w:val="0"/>
        <w:autoSpaceDE w:val="0"/>
        <w:autoSpaceDN w:val="0"/>
        <w:adjustRightInd w:val="0"/>
        <w:ind w:left="567" w:hanging="567"/>
        <w:rPr>
          <w:rFonts w:cs="Times New Roman"/>
          <w:sz w:val="22"/>
          <w:szCs w:val="22"/>
        </w:rPr>
      </w:pPr>
      <w:r w:rsidRPr="003E7385">
        <w:rPr>
          <w:rFonts w:cs="Times New Roman"/>
          <w:sz w:val="22"/>
          <w:szCs w:val="22"/>
        </w:rPr>
        <w:t>Ruby, Jay, and Barbara Meyerhoff. “Introduction.” In </w:t>
      </w:r>
      <w:r w:rsidRPr="003E7385">
        <w:rPr>
          <w:rFonts w:cs="Times New Roman"/>
          <w:i/>
          <w:iCs/>
          <w:sz w:val="22"/>
          <w:szCs w:val="22"/>
        </w:rPr>
        <w:t>A Crack in the Mirror: Reflexive Perspectives in Anthropology</w:t>
      </w:r>
      <w:r w:rsidRPr="003E7385">
        <w:rPr>
          <w:rFonts w:cs="Times New Roman"/>
          <w:sz w:val="22"/>
          <w:szCs w:val="22"/>
        </w:rPr>
        <w:t>, edited by Jay Ruby, 1–35. Philadelphia: University of Pennsylvania Press, 1982.</w:t>
      </w:r>
    </w:p>
    <w:p w14:paraId="5F9E1CEB" w14:textId="77777777" w:rsidR="00C21CD7" w:rsidRPr="0069209D" w:rsidRDefault="00C21CD7">
      <w:pPr>
        <w:rPr>
          <w:rFonts w:asciiTheme="majorHAnsi" w:hAnsiTheme="majorHAnsi"/>
          <w:b/>
          <w:sz w:val="22"/>
          <w:szCs w:val="22"/>
        </w:rPr>
      </w:pPr>
    </w:p>
    <w:p w14:paraId="0A352504" w14:textId="23D624C6" w:rsidR="00C21CD7" w:rsidRPr="0069209D" w:rsidRDefault="00C21CD7">
      <w:pPr>
        <w:rPr>
          <w:rFonts w:asciiTheme="majorHAnsi" w:hAnsiTheme="majorHAnsi"/>
          <w:b/>
          <w:i/>
          <w:sz w:val="22"/>
          <w:szCs w:val="22"/>
        </w:rPr>
      </w:pPr>
      <w:r w:rsidRPr="0069209D">
        <w:rPr>
          <w:rFonts w:asciiTheme="majorHAnsi" w:hAnsiTheme="majorHAnsi"/>
          <w:b/>
          <w:sz w:val="22"/>
          <w:szCs w:val="22"/>
        </w:rPr>
        <w:t xml:space="preserve">On Jorge Prelorán and </w:t>
      </w:r>
      <w:r w:rsidRPr="0069209D">
        <w:rPr>
          <w:rFonts w:asciiTheme="majorHAnsi" w:hAnsiTheme="majorHAnsi"/>
          <w:b/>
          <w:i/>
          <w:sz w:val="22"/>
          <w:szCs w:val="22"/>
        </w:rPr>
        <w:t>Zulay, frente al siglo XXI</w:t>
      </w:r>
    </w:p>
    <w:p w14:paraId="335C1272" w14:textId="77777777" w:rsidR="00C21CD7" w:rsidRPr="0069209D" w:rsidRDefault="00C21CD7">
      <w:pPr>
        <w:rPr>
          <w:rFonts w:asciiTheme="majorHAnsi" w:hAnsiTheme="majorHAnsi"/>
          <w:b/>
          <w:i/>
          <w:sz w:val="22"/>
          <w:szCs w:val="22"/>
        </w:rPr>
      </w:pPr>
    </w:p>
    <w:p w14:paraId="1A471212" w14:textId="77777777" w:rsidR="0069209D" w:rsidRPr="003E7385" w:rsidRDefault="0069209D" w:rsidP="003E7385">
      <w:pPr>
        <w:pStyle w:val="Bibliography"/>
        <w:ind w:left="567" w:hanging="567"/>
        <w:rPr>
          <w:sz w:val="22"/>
          <w:szCs w:val="22"/>
        </w:rPr>
      </w:pPr>
      <w:r w:rsidRPr="003E7385">
        <w:rPr>
          <w:sz w:val="22"/>
          <w:szCs w:val="22"/>
        </w:rPr>
        <w:t xml:space="preserve">Prelorán, Jorge. </w:t>
      </w:r>
      <w:r w:rsidRPr="003E7385">
        <w:rPr>
          <w:i/>
          <w:iCs/>
          <w:sz w:val="22"/>
          <w:szCs w:val="22"/>
        </w:rPr>
        <w:t>El cine etnobiográfico</w:t>
      </w:r>
      <w:r w:rsidRPr="003E7385">
        <w:rPr>
          <w:sz w:val="22"/>
          <w:szCs w:val="22"/>
        </w:rPr>
        <w:t>. Buenos Aires: Universidad del Cine, 2006.</w:t>
      </w:r>
    </w:p>
    <w:p w14:paraId="1ABCDEFF" w14:textId="77777777" w:rsidR="0069209D" w:rsidRPr="003E7385" w:rsidRDefault="0069209D" w:rsidP="003E7385">
      <w:pPr>
        <w:pStyle w:val="Bibliography"/>
        <w:ind w:left="567" w:hanging="567"/>
        <w:rPr>
          <w:sz w:val="22"/>
          <w:szCs w:val="22"/>
        </w:rPr>
      </w:pPr>
      <w:r w:rsidRPr="003E7385">
        <w:rPr>
          <w:sz w:val="22"/>
          <w:szCs w:val="22"/>
        </w:rPr>
        <w:t xml:space="preserve">Ríos, Humberto. “El cine no etnológico o el testimonio social de Jorge Prelorán.” In </w:t>
      </w:r>
      <w:r w:rsidRPr="003E7385">
        <w:rPr>
          <w:i/>
          <w:iCs/>
          <w:sz w:val="22"/>
          <w:szCs w:val="22"/>
        </w:rPr>
        <w:t>Cine, antropología y colonialismo</w:t>
      </w:r>
      <w:r w:rsidRPr="003E7385">
        <w:rPr>
          <w:sz w:val="22"/>
          <w:szCs w:val="22"/>
        </w:rPr>
        <w:t>, edited by Adolfo Colombres, 2nd ed., 107–19. Buenos Aires: Ediciones Del Sol, 2005.</w:t>
      </w:r>
    </w:p>
    <w:p w14:paraId="3D13E28F" w14:textId="77777777" w:rsidR="0069209D" w:rsidRPr="003E7385" w:rsidRDefault="0069209D" w:rsidP="003E7385">
      <w:pPr>
        <w:widowControl w:val="0"/>
        <w:autoSpaceDE w:val="0"/>
        <w:autoSpaceDN w:val="0"/>
        <w:adjustRightInd w:val="0"/>
        <w:ind w:left="567" w:hanging="567"/>
        <w:rPr>
          <w:rFonts w:cs="Cambria"/>
          <w:sz w:val="22"/>
          <w:szCs w:val="22"/>
        </w:rPr>
      </w:pPr>
      <w:r w:rsidRPr="003E7385">
        <w:rPr>
          <w:rFonts w:cs="Times New Roman"/>
          <w:sz w:val="22"/>
          <w:szCs w:val="22"/>
        </w:rPr>
        <w:t>Sherman, Sharon R. “From Romanticism to Reflexivity in the Films of Jorge Prelorán.” In </w:t>
      </w:r>
      <w:r w:rsidRPr="003E7385">
        <w:rPr>
          <w:rFonts w:cs="Times New Roman"/>
          <w:i/>
          <w:iCs/>
          <w:sz w:val="22"/>
          <w:szCs w:val="22"/>
        </w:rPr>
        <w:t>Memories of the Origins of Ethnographic Film</w:t>
      </w:r>
      <w:r w:rsidRPr="003E7385">
        <w:rPr>
          <w:rFonts w:cs="Times New Roman"/>
          <w:sz w:val="22"/>
          <w:szCs w:val="22"/>
        </w:rPr>
        <w:t>, edited by Beate Engelbrecht, 279–91. Frankfurt: Peter Lang, 2007.</w:t>
      </w:r>
    </w:p>
    <w:p w14:paraId="3291B12E" w14:textId="77777777" w:rsidR="0069209D" w:rsidRPr="0069209D" w:rsidRDefault="0069209D">
      <w:pPr>
        <w:rPr>
          <w:rFonts w:asciiTheme="majorHAnsi" w:hAnsiTheme="majorHAnsi"/>
          <w:b/>
          <w:i/>
          <w:sz w:val="22"/>
          <w:szCs w:val="22"/>
        </w:rPr>
      </w:pPr>
    </w:p>
    <w:p w14:paraId="6E3C7581" w14:textId="09B26351" w:rsidR="00C21CD7" w:rsidRPr="0069209D" w:rsidRDefault="00C21CD7">
      <w:pPr>
        <w:rPr>
          <w:rFonts w:asciiTheme="majorHAnsi" w:hAnsiTheme="majorHAnsi"/>
          <w:b/>
          <w:i/>
          <w:sz w:val="22"/>
          <w:szCs w:val="22"/>
        </w:rPr>
      </w:pPr>
      <w:r w:rsidRPr="0069209D">
        <w:rPr>
          <w:rFonts w:asciiTheme="majorHAnsi" w:hAnsiTheme="majorHAnsi"/>
          <w:b/>
          <w:sz w:val="22"/>
          <w:szCs w:val="22"/>
        </w:rPr>
        <w:t xml:space="preserve">On </w:t>
      </w:r>
      <w:r w:rsidRPr="0069209D">
        <w:rPr>
          <w:rFonts w:asciiTheme="majorHAnsi" w:hAnsiTheme="majorHAnsi"/>
          <w:b/>
          <w:i/>
          <w:sz w:val="22"/>
          <w:szCs w:val="22"/>
        </w:rPr>
        <w:t>El etnógrafo</w:t>
      </w:r>
    </w:p>
    <w:p w14:paraId="13C1B7BC" w14:textId="77777777" w:rsidR="00C21CD7" w:rsidRPr="0069209D" w:rsidRDefault="00C21CD7">
      <w:pPr>
        <w:rPr>
          <w:rFonts w:asciiTheme="majorHAnsi" w:hAnsiTheme="majorHAnsi"/>
          <w:b/>
          <w:i/>
          <w:sz w:val="22"/>
          <w:szCs w:val="22"/>
        </w:rPr>
      </w:pPr>
    </w:p>
    <w:p w14:paraId="2B3A9B6D" w14:textId="7F9B29C6" w:rsidR="00C21CD7" w:rsidRPr="003E7385" w:rsidRDefault="00C21CD7" w:rsidP="003E7385">
      <w:pPr>
        <w:pStyle w:val="Bibliography"/>
        <w:ind w:left="567" w:hanging="567"/>
        <w:rPr>
          <w:rFonts w:ascii="Cambria"/>
          <w:sz w:val="22"/>
          <w:szCs w:val="22"/>
        </w:rPr>
      </w:pPr>
      <w:r w:rsidRPr="0069209D">
        <w:rPr>
          <w:rFonts w:ascii="Cambria"/>
          <w:sz w:val="22"/>
          <w:szCs w:val="22"/>
        </w:rPr>
        <w:t xml:space="preserve">Bernades, Horacio. “Ese secreto de narrar desde adentro.” </w:t>
      </w:r>
      <w:r w:rsidRPr="0069209D">
        <w:rPr>
          <w:rFonts w:ascii="Cambria"/>
          <w:i/>
          <w:iCs/>
          <w:sz w:val="22"/>
          <w:szCs w:val="22"/>
        </w:rPr>
        <w:t>Página/12</w:t>
      </w:r>
      <w:r w:rsidRPr="0069209D">
        <w:rPr>
          <w:rFonts w:ascii="Cambria"/>
          <w:sz w:val="22"/>
          <w:szCs w:val="22"/>
        </w:rPr>
        <w:t>, September 13, 2012, sec. Cultura &amp; Espectáculos. http://www.pagina12.com.ar/diario/suplementos/espectaculos/5-26419-2012-09-13.html</w:t>
      </w:r>
    </w:p>
    <w:p w14:paraId="531983B4" w14:textId="371F02C2" w:rsidR="0069209D" w:rsidRPr="0069209D" w:rsidRDefault="0069209D" w:rsidP="003E7385">
      <w:pPr>
        <w:pStyle w:val="Bibliography"/>
        <w:ind w:left="567" w:hanging="567"/>
        <w:rPr>
          <w:rFonts w:ascii="Cambria"/>
          <w:sz w:val="22"/>
          <w:szCs w:val="22"/>
        </w:rPr>
      </w:pPr>
      <w:r w:rsidRPr="0069209D">
        <w:rPr>
          <w:rFonts w:ascii="Cambria"/>
          <w:sz w:val="22"/>
          <w:szCs w:val="22"/>
        </w:rPr>
        <w:t xml:space="preserve">Caresani, Luciana. “Entrevista a Ulises Rosell.” </w:t>
      </w:r>
      <w:r w:rsidRPr="0069209D">
        <w:rPr>
          <w:rFonts w:ascii="Cambria"/>
          <w:i/>
          <w:iCs/>
          <w:sz w:val="22"/>
          <w:szCs w:val="22"/>
        </w:rPr>
        <w:t>Otros cines</w:t>
      </w:r>
      <w:r w:rsidRPr="0069209D">
        <w:rPr>
          <w:rFonts w:ascii="Cambria"/>
          <w:sz w:val="22"/>
          <w:szCs w:val="22"/>
        </w:rPr>
        <w:t>, 2012. http://www.otroscines.com/festivales_detalle.php?idnota=6361&amp;idsubseccion=118</w:t>
      </w:r>
    </w:p>
    <w:p w14:paraId="3BB99216" w14:textId="77777777" w:rsidR="0069209D" w:rsidRPr="0069209D" w:rsidRDefault="0069209D">
      <w:pPr>
        <w:rPr>
          <w:rFonts w:asciiTheme="majorHAnsi" w:hAnsiTheme="majorHAnsi"/>
          <w:b/>
          <w:sz w:val="22"/>
          <w:szCs w:val="22"/>
        </w:rPr>
      </w:pPr>
    </w:p>
    <w:p w14:paraId="16B622FD" w14:textId="77777777" w:rsidR="00F433F9" w:rsidRDefault="00F433F9">
      <w:pPr>
        <w:rPr>
          <w:rFonts w:asciiTheme="majorHAnsi" w:hAnsiTheme="majorHAnsi"/>
          <w:b/>
          <w:sz w:val="22"/>
          <w:szCs w:val="22"/>
        </w:rPr>
      </w:pPr>
    </w:p>
    <w:p w14:paraId="1B98E0DC" w14:textId="084131B9" w:rsidR="00C21CD7" w:rsidRPr="0069209D" w:rsidRDefault="00C21CD7">
      <w:pPr>
        <w:rPr>
          <w:rFonts w:asciiTheme="majorHAnsi" w:hAnsiTheme="majorHAnsi"/>
          <w:b/>
          <w:sz w:val="22"/>
          <w:szCs w:val="22"/>
        </w:rPr>
      </w:pPr>
      <w:r w:rsidRPr="0069209D">
        <w:rPr>
          <w:rFonts w:asciiTheme="majorHAnsi" w:hAnsiTheme="majorHAnsi"/>
          <w:b/>
          <w:sz w:val="22"/>
          <w:szCs w:val="22"/>
        </w:rPr>
        <w:t xml:space="preserve">On the </w:t>
      </w:r>
      <w:r w:rsidRPr="0069209D">
        <w:rPr>
          <w:rFonts w:asciiTheme="majorHAnsi" w:hAnsiTheme="majorHAnsi"/>
          <w:b/>
          <w:i/>
          <w:sz w:val="22"/>
          <w:szCs w:val="22"/>
        </w:rPr>
        <w:t>Vídeo nas Aldeias</w:t>
      </w:r>
      <w:r w:rsidRPr="0069209D">
        <w:rPr>
          <w:rFonts w:asciiTheme="majorHAnsi" w:hAnsiTheme="majorHAnsi"/>
          <w:b/>
          <w:sz w:val="22"/>
          <w:szCs w:val="22"/>
        </w:rPr>
        <w:t xml:space="preserve"> project</w:t>
      </w:r>
    </w:p>
    <w:p w14:paraId="4394826B" w14:textId="77777777" w:rsidR="00C21CD7" w:rsidRPr="0069209D" w:rsidRDefault="00C21CD7">
      <w:pPr>
        <w:rPr>
          <w:rFonts w:asciiTheme="majorHAnsi" w:hAnsiTheme="majorHAnsi"/>
          <w:b/>
          <w:i/>
          <w:sz w:val="22"/>
          <w:szCs w:val="22"/>
        </w:rPr>
      </w:pPr>
    </w:p>
    <w:p w14:paraId="1DEDA635" w14:textId="0A6D5F7F" w:rsidR="0069209D" w:rsidRDefault="0069209D" w:rsidP="003E7385">
      <w:pPr>
        <w:widowControl w:val="0"/>
        <w:autoSpaceDE w:val="0"/>
        <w:autoSpaceDN w:val="0"/>
        <w:adjustRightInd w:val="0"/>
        <w:ind w:left="567" w:hanging="567"/>
        <w:rPr>
          <w:rFonts w:ascii="Cambria" w:hAnsi="Cambria" w:cs="Cambria"/>
          <w:sz w:val="22"/>
          <w:szCs w:val="22"/>
          <w:u w:color="386EFF"/>
        </w:rPr>
      </w:pPr>
      <w:r w:rsidRPr="0069209D">
        <w:rPr>
          <w:rFonts w:ascii="Cambria" w:hAnsi="Cambria" w:cs="Cambria"/>
          <w:sz w:val="22"/>
          <w:szCs w:val="22"/>
        </w:rPr>
        <w:t xml:space="preserve">Several critical articles on the work of the Video Nas Aldeias </w:t>
      </w:r>
      <w:r w:rsidR="00EC4D41">
        <w:rPr>
          <w:rFonts w:ascii="Cambria" w:hAnsi="Cambria" w:cs="Cambria"/>
          <w:sz w:val="22"/>
          <w:szCs w:val="22"/>
        </w:rPr>
        <w:t xml:space="preserve">collective are available online: </w:t>
      </w:r>
      <w:hyperlink r:id="rId8" w:history="1">
        <w:r w:rsidRPr="0069209D">
          <w:rPr>
            <w:rFonts w:ascii="Cambria" w:hAnsi="Cambria" w:cs="Cambria"/>
            <w:sz w:val="22"/>
            <w:szCs w:val="22"/>
            <w:u w:color="386EFF"/>
          </w:rPr>
          <w:t>http://www.videonasaldeias.org.br/2009/biblioteca.php</w:t>
        </w:r>
      </w:hyperlink>
    </w:p>
    <w:p w14:paraId="3DDA09DF" w14:textId="018E354A" w:rsidR="00D45642" w:rsidRPr="003E7385" w:rsidRDefault="00D45642" w:rsidP="00D45642">
      <w:pPr>
        <w:widowControl w:val="0"/>
        <w:autoSpaceDE w:val="0"/>
        <w:autoSpaceDN w:val="0"/>
        <w:adjustRightInd w:val="0"/>
        <w:ind w:left="567" w:hanging="567"/>
        <w:rPr>
          <w:rFonts w:cs="Cambria"/>
          <w:sz w:val="22"/>
          <w:szCs w:val="22"/>
        </w:rPr>
      </w:pPr>
      <w:r>
        <w:rPr>
          <w:rFonts w:cs="Times New Roman"/>
          <w:sz w:val="22"/>
          <w:szCs w:val="22"/>
        </w:rPr>
        <w:t xml:space="preserve">Stam, Robert, João Luiz Vieira and Ismail Xavier. “The Shape of Brazilian Cinema in the Postmodern Age.” In </w:t>
      </w:r>
      <w:r>
        <w:rPr>
          <w:rFonts w:cs="Times New Roman"/>
          <w:i/>
          <w:sz w:val="22"/>
          <w:szCs w:val="22"/>
        </w:rPr>
        <w:t xml:space="preserve">Brazilian </w:t>
      </w:r>
      <w:r w:rsidRPr="00BA0324">
        <w:rPr>
          <w:rFonts w:cs="Times New Roman"/>
          <w:i/>
          <w:sz w:val="22"/>
          <w:szCs w:val="22"/>
        </w:rPr>
        <w:t>Cinema</w:t>
      </w:r>
      <w:r>
        <w:rPr>
          <w:rFonts w:cs="Times New Roman"/>
          <w:sz w:val="22"/>
          <w:szCs w:val="22"/>
        </w:rPr>
        <w:t xml:space="preserve">, edited by Randal Johnson and Robert Stam, </w:t>
      </w:r>
      <w:r w:rsidRPr="00BA0324">
        <w:rPr>
          <w:rFonts w:cs="Times New Roman"/>
          <w:sz w:val="22"/>
          <w:szCs w:val="22"/>
        </w:rPr>
        <w:t>389</w:t>
      </w:r>
      <w:r>
        <w:rPr>
          <w:rFonts w:cs="Times New Roman"/>
          <w:sz w:val="22"/>
          <w:szCs w:val="22"/>
        </w:rPr>
        <w:t>-472. New York: Columbia University Press, 1995. [on indigenous media and the Vídeo nas Aldeias project]</w:t>
      </w:r>
    </w:p>
    <w:p w14:paraId="4C9F7F90" w14:textId="77777777" w:rsidR="0069209D" w:rsidRPr="0069209D" w:rsidRDefault="0069209D">
      <w:pPr>
        <w:rPr>
          <w:rFonts w:asciiTheme="majorHAnsi" w:hAnsiTheme="majorHAnsi"/>
          <w:b/>
          <w:i/>
          <w:sz w:val="22"/>
          <w:szCs w:val="22"/>
        </w:rPr>
      </w:pPr>
    </w:p>
    <w:p w14:paraId="360707A7" w14:textId="33D9BF81" w:rsidR="00C21CD7" w:rsidRDefault="00C21CD7">
      <w:pPr>
        <w:rPr>
          <w:rFonts w:asciiTheme="majorHAnsi" w:hAnsiTheme="majorHAnsi"/>
          <w:b/>
          <w:i/>
          <w:sz w:val="22"/>
          <w:szCs w:val="22"/>
        </w:rPr>
      </w:pPr>
      <w:r w:rsidRPr="0069209D">
        <w:rPr>
          <w:rFonts w:asciiTheme="majorHAnsi" w:hAnsiTheme="majorHAnsi"/>
          <w:b/>
          <w:sz w:val="22"/>
          <w:szCs w:val="22"/>
        </w:rPr>
        <w:t xml:space="preserve">On </w:t>
      </w:r>
      <w:r w:rsidRPr="0069209D">
        <w:rPr>
          <w:rFonts w:asciiTheme="majorHAnsi" w:hAnsiTheme="majorHAnsi"/>
          <w:b/>
          <w:i/>
          <w:sz w:val="22"/>
          <w:szCs w:val="22"/>
        </w:rPr>
        <w:t>Boca de lixo</w:t>
      </w:r>
    </w:p>
    <w:p w14:paraId="7E7DCE4E" w14:textId="77777777" w:rsidR="0069209D" w:rsidRPr="00EC4D41" w:rsidRDefault="0069209D">
      <w:pPr>
        <w:rPr>
          <w:i/>
          <w:sz w:val="22"/>
          <w:szCs w:val="22"/>
        </w:rPr>
      </w:pPr>
    </w:p>
    <w:p w14:paraId="1BCA8A3C" w14:textId="6BD33C9B" w:rsidR="00EC4D41" w:rsidRPr="00EC4D41" w:rsidRDefault="00EC4D41" w:rsidP="003E7385">
      <w:pPr>
        <w:ind w:left="567" w:hanging="567"/>
        <w:rPr>
          <w:sz w:val="22"/>
          <w:szCs w:val="22"/>
          <w:lang w:val="en-GB"/>
        </w:rPr>
      </w:pPr>
      <w:r w:rsidRPr="00EC4D41">
        <w:rPr>
          <w:sz w:val="22"/>
          <w:szCs w:val="22"/>
          <w:lang w:val="en-GB"/>
        </w:rPr>
        <w:t xml:space="preserve">Da Cunha, Mariana A. C. “Between Image and Word: Minority Discourses and Community Construction in Eduardo Coutinho’s Documentaries.” In </w:t>
      </w:r>
      <w:r w:rsidRPr="00EC4D41">
        <w:rPr>
          <w:rFonts w:cs="Arial"/>
          <w:bCs/>
          <w:i/>
          <w:color w:val="262626"/>
          <w:sz w:val="22"/>
          <w:szCs w:val="22"/>
        </w:rPr>
        <w:t>Visual Synergies in Fiction and Documentary Film from Latin America</w:t>
      </w:r>
      <w:r w:rsidRPr="00EC4D41">
        <w:rPr>
          <w:sz w:val="22"/>
          <w:szCs w:val="22"/>
          <w:lang w:val="en-GB"/>
        </w:rPr>
        <w:t>, edited by Miriam Haddu and Joanna Page, 133-50. London and New York: Palgrave Macmillan, 2009.</w:t>
      </w:r>
    </w:p>
    <w:p w14:paraId="20733325" w14:textId="4425E0C3" w:rsidR="0069209D" w:rsidRPr="00C920B7" w:rsidRDefault="00C920B7" w:rsidP="003E7385">
      <w:pPr>
        <w:ind w:left="567" w:hanging="567"/>
        <w:rPr>
          <w:sz w:val="22"/>
          <w:szCs w:val="22"/>
          <w:lang w:val="en-GB"/>
        </w:rPr>
      </w:pPr>
      <w:r w:rsidRPr="00EC4D41">
        <w:rPr>
          <w:sz w:val="22"/>
          <w:szCs w:val="22"/>
          <w:lang w:val="en-GB"/>
        </w:rPr>
        <w:t xml:space="preserve">Foster, David William. </w:t>
      </w:r>
      <w:r w:rsidRPr="00EC4D41">
        <w:rPr>
          <w:rFonts w:eastAsia="Arial Unicode MS" w:cs="Arial Unicode MS"/>
          <w:i/>
          <w:sz w:val="22"/>
          <w:szCs w:val="22"/>
        </w:rPr>
        <w:t>Latin American Documentary Filmmaking: Major Works</w:t>
      </w:r>
      <w:r w:rsidRPr="00EC4D41">
        <w:rPr>
          <w:sz w:val="22"/>
          <w:szCs w:val="22"/>
          <w:lang w:val="en-GB"/>
        </w:rPr>
        <w:t xml:space="preserve">. </w:t>
      </w:r>
      <w:r w:rsidR="00EC4D41" w:rsidRPr="00EC4D41">
        <w:rPr>
          <w:rFonts w:eastAsia="Arial Unicode MS" w:cs="Arial Unicode MS"/>
          <w:sz w:val="22"/>
          <w:szCs w:val="22"/>
        </w:rPr>
        <w:t>Tucson</w:t>
      </w:r>
      <w:r w:rsidRPr="00EC4D41">
        <w:rPr>
          <w:rFonts w:eastAsia="Arial Unicode MS" w:cs="Arial Unicode MS"/>
          <w:sz w:val="22"/>
          <w:szCs w:val="22"/>
        </w:rPr>
        <w:t>: University of Arizona</w:t>
      </w:r>
      <w:r w:rsidRPr="00C920B7">
        <w:rPr>
          <w:rFonts w:eastAsia="Arial Unicode MS" w:cs="Arial Unicode MS"/>
          <w:sz w:val="22"/>
          <w:szCs w:val="22"/>
        </w:rPr>
        <w:t xml:space="preserve"> Press, 2013. [Chapter on</w:t>
      </w:r>
      <w:r w:rsidRPr="00C920B7">
        <w:rPr>
          <w:sz w:val="22"/>
          <w:szCs w:val="22"/>
          <w:lang w:val="en-GB"/>
        </w:rPr>
        <w:t xml:space="preserve"> “Metafilmic Devices in Eduardo Coutinho’s </w:t>
      </w:r>
      <w:r w:rsidRPr="00C920B7">
        <w:rPr>
          <w:i/>
          <w:sz w:val="22"/>
          <w:szCs w:val="22"/>
          <w:lang w:val="en-GB"/>
        </w:rPr>
        <w:t>Boca de lixo</w:t>
      </w:r>
      <w:r w:rsidRPr="00C920B7">
        <w:rPr>
          <w:sz w:val="22"/>
          <w:szCs w:val="22"/>
          <w:lang w:val="en-GB"/>
        </w:rPr>
        <w:t xml:space="preserve">” – also available at </w:t>
      </w:r>
      <w:hyperlink r:id="rId9" w:history="1">
        <w:r w:rsidR="0069209D" w:rsidRPr="00C920B7">
          <w:rPr>
            <w:rFonts w:cs="Cambria"/>
            <w:sz w:val="22"/>
            <w:szCs w:val="22"/>
            <w:u w:color="386EFF"/>
          </w:rPr>
          <w:t>http://www.fap.pr.gov.br/arquivos/File/RevistaCientifica4vol2/11_artigo_David_William_Foster.pdf</w:t>
        </w:r>
      </w:hyperlink>
      <w:r w:rsidRPr="00C920B7">
        <w:rPr>
          <w:rFonts w:cs="Cambria"/>
          <w:sz w:val="22"/>
          <w:szCs w:val="22"/>
        </w:rPr>
        <w:t>]</w:t>
      </w:r>
    </w:p>
    <w:p w14:paraId="479F13D3" w14:textId="20638786" w:rsidR="00D45642" w:rsidRPr="003E7385" w:rsidRDefault="00D45642" w:rsidP="00D45642">
      <w:pPr>
        <w:widowControl w:val="0"/>
        <w:autoSpaceDE w:val="0"/>
        <w:autoSpaceDN w:val="0"/>
        <w:adjustRightInd w:val="0"/>
        <w:ind w:left="567" w:hanging="567"/>
        <w:rPr>
          <w:rFonts w:cs="Cambria"/>
          <w:sz w:val="22"/>
          <w:szCs w:val="22"/>
        </w:rPr>
      </w:pPr>
      <w:r>
        <w:rPr>
          <w:rFonts w:cs="Times New Roman"/>
          <w:sz w:val="22"/>
          <w:szCs w:val="22"/>
        </w:rPr>
        <w:t xml:space="preserve">Stam, Robert, João Luiz Vieira and Ismail Xavier. “The Shape of Brazilian Cinema in the Postmodern Age.” In </w:t>
      </w:r>
      <w:r>
        <w:rPr>
          <w:rFonts w:cs="Times New Roman"/>
          <w:i/>
          <w:sz w:val="22"/>
          <w:szCs w:val="22"/>
        </w:rPr>
        <w:t xml:space="preserve">Brazilian </w:t>
      </w:r>
      <w:r w:rsidRPr="00BA0324">
        <w:rPr>
          <w:rFonts w:cs="Times New Roman"/>
          <w:i/>
          <w:sz w:val="22"/>
          <w:szCs w:val="22"/>
        </w:rPr>
        <w:t>Cinema</w:t>
      </w:r>
      <w:r>
        <w:rPr>
          <w:rFonts w:cs="Times New Roman"/>
          <w:sz w:val="22"/>
          <w:szCs w:val="22"/>
        </w:rPr>
        <w:t xml:space="preserve">, edited by Randal Johnson and Robert Stam, </w:t>
      </w:r>
      <w:r w:rsidRPr="00BA0324">
        <w:rPr>
          <w:rFonts w:cs="Times New Roman"/>
          <w:sz w:val="22"/>
          <w:szCs w:val="22"/>
        </w:rPr>
        <w:t>389</w:t>
      </w:r>
      <w:r>
        <w:rPr>
          <w:rFonts w:cs="Times New Roman"/>
          <w:sz w:val="22"/>
          <w:szCs w:val="22"/>
        </w:rPr>
        <w:t>-472. New York: Columbia University Press, 1995. [on Coutinho]</w:t>
      </w:r>
    </w:p>
    <w:p w14:paraId="6A315EA6" w14:textId="77777777" w:rsidR="00C21CD7" w:rsidRPr="00C920B7" w:rsidRDefault="00C21CD7">
      <w:pPr>
        <w:rPr>
          <w:b/>
          <w:i/>
          <w:sz w:val="22"/>
          <w:szCs w:val="22"/>
        </w:rPr>
      </w:pPr>
    </w:p>
    <w:p w14:paraId="09CA77BE" w14:textId="278D40FF" w:rsidR="00C21CD7" w:rsidRPr="00C920B7" w:rsidRDefault="0069209D">
      <w:pPr>
        <w:rPr>
          <w:rFonts w:asciiTheme="majorHAnsi" w:hAnsiTheme="majorHAnsi"/>
          <w:b/>
          <w:sz w:val="22"/>
          <w:szCs w:val="22"/>
        </w:rPr>
      </w:pPr>
      <w:r w:rsidRPr="00C920B7">
        <w:rPr>
          <w:rFonts w:asciiTheme="majorHAnsi" w:hAnsiTheme="majorHAnsi"/>
          <w:b/>
          <w:sz w:val="22"/>
          <w:szCs w:val="22"/>
        </w:rPr>
        <w:t>Other works cited in lecture</w:t>
      </w:r>
    </w:p>
    <w:p w14:paraId="59262604" w14:textId="77777777" w:rsidR="0069209D" w:rsidRPr="0069209D" w:rsidRDefault="0069209D">
      <w:pPr>
        <w:rPr>
          <w:rFonts w:asciiTheme="majorHAnsi" w:hAnsiTheme="majorHAnsi"/>
          <w:b/>
          <w:sz w:val="22"/>
          <w:szCs w:val="22"/>
        </w:rPr>
      </w:pPr>
    </w:p>
    <w:p w14:paraId="388408C4" w14:textId="77777777" w:rsidR="000D2924" w:rsidRDefault="00C21CD7" w:rsidP="003E7385">
      <w:pPr>
        <w:pStyle w:val="Bibliography"/>
        <w:ind w:left="720" w:hanging="720"/>
        <w:rPr>
          <w:rFonts w:ascii="Cambria"/>
          <w:sz w:val="22"/>
          <w:szCs w:val="22"/>
        </w:rPr>
      </w:pPr>
      <w:r w:rsidRPr="0069209D">
        <w:rPr>
          <w:rFonts w:ascii="Cambria"/>
          <w:sz w:val="22"/>
          <w:szCs w:val="22"/>
        </w:rPr>
        <w:t xml:space="preserve">García Canclini, Néstor. </w:t>
      </w:r>
      <w:r w:rsidRPr="0069209D">
        <w:rPr>
          <w:rFonts w:ascii="Cambria"/>
          <w:i/>
          <w:iCs/>
          <w:sz w:val="22"/>
          <w:szCs w:val="22"/>
        </w:rPr>
        <w:t>Diferentes, desiguales y desconectados: mapas de la interculturalidad</w:t>
      </w:r>
      <w:r w:rsidRPr="0069209D">
        <w:rPr>
          <w:rFonts w:ascii="Cambria"/>
          <w:sz w:val="22"/>
          <w:szCs w:val="22"/>
        </w:rPr>
        <w:t>. Barcelona: Gedisa, 2004.</w:t>
      </w:r>
      <w:r w:rsidR="000D2924">
        <w:rPr>
          <w:rFonts w:ascii="Cambria"/>
          <w:sz w:val="22"/>
          <w:szCs w:val="22"/>
        </w:rPr>
        <w:t xml:space="preserve"> See:</w:t>
      </w:r>
    </w:p>
    <w:p w14:paraId="33D92191" w14:textId="0C59EF1C" w:rsidR="00C21CD7" w:rsidRPr="0069209D" w:rsidRDefault="000D2924" w:rsidP="003E7385">
      <w:pPr>
        <w:pStyle w:val="Bibliography"/>
        <w:ind w:left="720" w:hanging="720"/>
        <w:rPr>
          <w:rFonts w:ascii="Cambria"/>
          <w:sz w:val="22"/>
          <w:szCs w:val="22"/>
        </w:rPr>
      </w:pPr>
      <w:r w:rsidRPr="000D2924">
        <w:rPr>
          <w:rFonts w:ascii="Cambria"/>
          <w:sz w:val="22"/>
          <w:szCs w:val="22"/>
        </w:rPr>
        <w:t>http://www.interculturalidadypatrimonio.cl/wp-content/uploads/2014/09/NGCDifsdesig_y_desc1.pdf</w:t>
      </w:r>
    </w:p>
    <w:p w14:paraId="69F31CED" w14:textId="4FC85DA7" w:rsidR="00C21CD7" w:rsidRPr="0069209D" w:rsidRDefault="00C21CD7" w:rsidP="00C21CD7">
      <w:pPr>
        <w:rPr>
          <w:rFonts w:asciiTheme="majorHAnsi" w:hAnsiTheme="majorHAnsi"/>
          <w:b/>
          <w:sz w:val="22"/>
          <w:szCs w:val="22"/>
        </w:rPr>
      </w:pPr>
    </w:p>
    <w:p w14:paraId="4D112D89" w14:textId="3B608B8F" w:rsidR="00627EB2" w:rsidRPr="0069209D" w:rsidRDefault="00C21CD7" w:rsidP="0069209D">
      <w:pPr>
        <w:widowControl w:val="0"/>
        <w:autoSpaceDE w:val="0"/>
        <w:autoSpaceDN w:val="0"/>
        <w:adjustRightInd w:val="0"/>
        <w:ind w:left="960" w:hanging="960"/>
        <w:rPr>
          <w:sz w:val="22"/>
          <w:szCs w:val="22"/>
        </w:rPr>
      </w:pPr>
      <w:r w:rsidRPr="0069209D">
        <w:rPr>
          <w:rFonts w:ascii="Cambria" w:hAnsi="Cambria" w:cs="Cambria"/>
          <w:sz w:val="22"/>
          <w:szCs w:val="22"/>
        </w:rPr>
        <w:t> </w:t>
      </w:r>
    </w:p>
    <w:p w14:paraId="0814A0AD" w14:textId="77777777" w:rsidR="002C6772" w:rsidRPr="0069209D" w:rsidRDefault="002C6772" w:rsidP="00D3122A">
      <w:pPr>
        <w:rPr>
          <w:sz w:val="22"/>
          <w:szCs w:val="22"/>
        </w:rPr>
      </w:pPr>
      <w:bookmarkStart w:id="0" w:name="_GoBack"/>
      <w:bookmarkEnd w:id="0"/>
    </w:p>
    <w:sectPr w:rsidR="002C6772" w:rsidRPr="0069209D" w:rsidSect="00F433F9">
      <w:pgSz w:w="11906" w:h="16838"/>
      <w:pgMar w:top="1135"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B348F"/>
    <w:multiLevelType w:val="hybridMultilevel"/>
    <w:tmpl w:val="30A6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72B9C"/>
    <w:multiLevelType w:val="hybridMultilevel"/>
    <w:tmpl w:val="85048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9D"/>
    <w:rsid w:val="00011D2D"/>
    <w:rsid w:val="000535BA"/>
    <w:rsid w:val="000655EA"/>
    <w:rsid w:val="000834DD"/>
    <w:rsid w:val="000944C8"/>
    <w:rsid w:val="000A1E86"/>
    <w:rsid w:val="000B78F2"/>
    <w:rsid w:val="000D2924"/>
    <w:rsid w:val="000E2A9F"/>
    <w:rsid w:val="00197EA6"/>
    <w:rsid w:val="002C6772"/>
    <w:rsid w:val="0034012A"/>
    <w:rsid w:val="00352512"/>
    <w:rsid w:val="003C5822"/>
    <w:rsid w:val="003E7385"/>
    <w:rsid w:val="004D0071"/>
    <w:rsid w:val="00521B6C"/>
    <w:rsid w:val="0054096E"/>
    <w:rsid w:val="005507CC"/>
    <w:rsid w:val="00627EB2"/>
    <w:rsid w:val="0069209D"/>
    <w:rsid w:val="0074282B"/>
    <w:rsid w:val="00772B32"/>
    <w:rsid w:val="00774D04"/>
    <w:rsid w:val="007B75FE"/>
    <w:rsid w:val="008567AD"/>
    <w:rsid w:val="00896210"/>
    <w:rsid w:val="008B1B31"/>
    <w:rsid w:val="008D079D"/>
    <w:rsid w:val="00912EE3"/>
    <w:rsid w:val="00955BF1"/>
    <w:rsid w:val="0098795E"/>
    <w:rsid w:val="009C3A7B"/>
    <w:rsid w:val="00A47A6C"/>
    <w:rsid w:val="00BA0324"/>
    <w:rsid w:val="00C05A81"/>
    <w:rsid w:val="00C113C3"/>
    <w:rsid w:val="00C219F3"/>
    <w:rsid w:val="00C21CD7"/>
    <w:rsid w:val="00C920B7"/>
    <w:rsid w:val="00CB4DFE"/>
    <w:rsid w:val="00CE636D"/>
    <w:rsid w:val="00D3122A"/>
    <w:rsid w:val="00D45642"/>
    <w:rsid w:val="00EC4D41"/>
    <w:rsid w:val="00F30380"/>
    <w:rsid w:val="00F433F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9D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8D079D"/>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CEF"/>
    <w:rPr>
      <w:szCs w:val="18"/>
    </w:rPr>
  </w:style>
  <w:style w:type="character" w:customStyle="1" w:styleId="BalloonTextChar">
    <w:name w:val="Balloon Text Char"/>
    <w:basedOn w:val="DefaultParagraphFont"/>
    <w:link w:val="BalloonText"/>
    <w:uiPriority w:val="99"/>
    <w:semiHidden/>
    <w:rsid w:val="00425CEF"/>
    <w:rPr>
      <w:rFonts w:asciiTheme="minorHAnsi" w:hAnsiTheme="minorHAnsi"/>
      <w:sz w:val="24"/>
      <w:szCs w:val="18"/>
    </w:rPr>
  </w:style>
  <w:style w:type="paragraph" w:styleId="FootnoteText">
    <w:name w:val="footnote text"/>
    <w:basedOn w:val="Normal"/>
    <w:link w:val="FootnoteTextChar"/>
    <w:unhideWhenUsed/>
    <w:rsid w:val="00C470AF"/>
    <w:rPr>
      <w:sz w:val="20"/>
    </w:rPr>
  </w:style>
  <w:style w:type="character" w:customStyle="1" w:styleId="FootnoteTextChar">
    <w:name w:val="Footnote Text Char"/>
    <w:basedOn w:val="DefaultParagraphFont"/>
    <w:link w:val="FootnoteText"/>
    <w:rsid w:val="00C470AF"/>
    <w:rPr>
      <w:sz w:val="20"/>
    </w:rPr>
  </w:style>
  <w:style w:type="paragraph" w:styleId="Bibliography">
    <w:name w:val="Bibliography"/>
    <w:basedOn w:val="Normal"/>
    <w:next w:val="Normal"/>
    <w:uiPriority w:val="37"/>
    <w:unhideWhenUsed/>
    <w:rsid w:val="000834DD"/>
  </w:style>
  <w:style w:type="paragraph" w:styleId="NormalWeb">
    <w:name w:val="Normal (Web)"/>
    <w:basedOn w:val="Normal"/>
    <w:uiPriority w:val="99"/>
    <w:rsid w:val="00912EE3"/>
    <w:pPr>
      <w:spacing w:beforeLines="1" w:afterLines="1"/>
    </w:pPr>
    <w:rPr>
      <w:rFonts w:ascii="Times" w:hAnsi="Times" w:cs="Times New Roman"/>
      <w:sz w:val="20"/>
      <w:szCs w:val="20"/>
      <w:lang w:val="en-GB"/>
    </w:rPr>
  </w:style>
  <w:style w:type="character" w:styleId="Hyperlink">
    <w:name w:val="Hyperlink"/>
    <w:basedOn w:val="DefaultParagraphFont"/>
    <w:rsid w:val="003C5822"/>
    <w:rPr>
      <w:color w:val="0000FF" w:themeColor="hyperlink"/>
      <w:u w:val="single"/>
    </w:rPr>
  </w:style>
  <w:style w:type="paragraph" w:styleId="ListParagraph">
    <w:name w:val="List Paragraph"/>
    <w:basedOn w:val="Normal"/>
    <w:rsid w:val="003C58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8D079D"/>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CEF"/>
    <w:rPr>
      <w:szCs w:val="18"/>
    </w:rPr>
  </w:style>
  <w:style w:type="character" w:customStyle="1" w:styleId="BalloonTextChar">
    <w:name w:val="Balloon Text Char"/>
    <w:basedOn w:val="DefaultParagraphFont"/>
    <w:link w:val="BalloonText"/>
    <w:uiPriority w:val="99"/>
    <w:semiHidden/>
    <w:rsid w:val="00425CEF"/>
    <w:rPr>
      <w:rFonts w:asciiTheme="minorHAnsi" w:hAnsiTheme="minorHAnsi"/>
      <w:sz w:val="24"/>
      <w:szCs w:val="18"/>
    </w:rPr>
  </w:style>
  <w:style w:type="paragraph" w:styleId="FootnoteText">
    <w:name w:val="footnote text"/>
    <w:basedOn w:val="Normal"/>
    <w:link w:val="FootnoteTextChar"/>
    <w:unhideWhenUsed/>
    <w:rsid w:val="00C470AF"/>
    <w:rPr>
      <w:sz w:val="20"/>
    </w:rPr>
  </w:style>
  <w:style w:type="character" w:customStyle="1" w:styleId="FootnoteTextChar">
    <w:name w:val="Footnote Text Char"/>
    <w:basedOn w:val="DefaultParagraphFont"/>
    <w:link w:val="FootnoteText"/>
    <w:rsid w:val="00C470AF"/>
    <w:rPr>
      <w:sz w:val="20"/>
    </w:rPr>
  </w:style>
  <w:style w:type="paragraph" w:styleId="Bibliography">
    <w:name w:val="Bibliography"/>
    <w:basedOn w:val="Normal"/>
    <w:next w:val="Normal"/>
    <w:uiPriority w:val="37"/>
    <w:unhideWhenUsed/>
    <w:rsid w:val="000834DD"/>
  </w:style>
  <w:style w:type="paragraph" w:styleId="NormalWeb">
    <w:name w:val="Normal (Web)"/>
    <w:basedOn w:val="Normal"/>
    <w:uiPriority w:val="99"/>
    <w:rsid w:val="00912EE3"/>
    <w:pPr>
      <w:spacing w:beforeLines="1" w:afterLines="1"/>
    </w:pPr>
    <w:rPr>
      <w:rFonts w:ascii="Times" w:hAnsi="Times" w:cs="Times New Roman"/>
      <w:sz w:val="20"/>
      <w:szCs w:val="20"/>
      <w:lang w:val="en-GB"/>
    </w:rPr>
  </w:style>
  <w:style w:type="character" w:styleId="Hyperlink">
    <w:name w:val="Hyperlink"/>
    <w:basedOn w:val="DefaultParagraphFont"/>
    <w:rsid w:val="003C5822"/>
    <w:rPr>
      <w:color w:val="0000FF" w:themeColor="hyperlink"/>
      <w:u w:val="single"/>
    </w:rPr>
  </w:style>
  <w:style w:type="paragraph" w:styleId="ListParagraph">
    <w:name w:val="List Paragraph"/>
    <w:basedOn w:val="Normal"/>
    <w:rsid w:val="003C5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7810">
      <w:bodyDiv w:val="1"/>
      <w:marLeft w:val="0"/>
      <w:marRight w:val="0"/>
      <w:marTop w:val="0"/>
      <w:marBottom w:val="0"/>
      <w:divBdr>
        <w:top w:val="none" w:sz="0" w:space="0" w:color="auto"/>
        <w:left w:val="none" w:sz="0" w:space="0" w:color="auto"/>
        <w:bottom w:val="none" w:sz="0" w:space="0" w:color="auto"/>
        <w:right w:val="none" w:sz="0" w:space="0" w:color="auto"/>
      </w:divBdr>
      <w:divsChild>
        <w:div w:id="1426656871">
          <w:marLeft w:val="0"/>
          <w:marRight w:val="0"/>
          <w:marTop w:val="0"/>
          <w:marBottom w:val="0"/>
          <w:divBdr>
            <w:top w:val="none" w:sz="0" w:space="0" w:color="auto"/>
            <w:left w:val="none" w:sz="0" w:space="0" w:color="auto"/>
            <w:bottom w:val="none" w:sz="0" w:space="0" w:color="auto"/>
            <w:right w:val="none" w:sz="0" w:space="0" w:color="auto"/>
          </w:divBdr>
          <w:divsChild>
            <w:div w:id="1258053464">
              <w:marLeft w:val="0"/>
              <w:marRight w:val="0"/>
              <w:marTop w:val="0"/>
              <w:marBottom w:val="0"/>
              <w:divBdr>
                <w:top w:val="none" w:sz="0" w:space="0" w:color="auto"/>
                <w:left w:val="none" w:sz="0" w:space="0" w:color="auto"/>
                <w:bottom w:val="none" w:sz="0" w:space="0" w:color="auto"/>
                <w:right w:val="none" w:sz="0" w:space="0" w:color="auto"/>
              </w:divBdr>
              <w:divsChild>
                <w:div w:id="15500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4928">
      <w:bodyDiv w:val="1"/>
      <w:marLeft w:val="0"/>
      <w:marRight w:val="0"/>
      <w:marTop w:val="0"/>
      <w:marBottom w:val="0"/>
      <w:divBdr>
        <w:top w:val="none" w:sz="0" w:space="0" w:color="auto"/>
        <w:left w:val="none" w:sz="0" w:space="0" w:color="auto"/>
        <w:bottom w:val="none" w:sz="0" w:space="0" w:color="auto"/>
        <w:right w:val="none" w:sz="0" w:space="0" w:color="auto"/>
      </w:divBdr>
      <w:divsChild>
        <w:div w:id="864683112">
          <w:marLeft w:val="0"/>
          <w:marRight w:val="0"/>
          <w:marTop w:val="0"/>
          <w:marBottom w:val="0"/>
          <w:divBdr>
            <w:top w:val="none" w:sz="0" w:space="0" w:color="auto"/>
            <w:left w:val="none" w:sz="0" w:space="0" w:color="auto"/>
            <w:bottom w:val="none" w:sz="0" w:space="0" w:color="auto"/>
            <w:right w:val="none" w:sz="0" w:space="0" w:color="auto"/>
          </w:divBdr>
          <w:divsChild>
            <w:div w:id="268317614">
              <w:marLeft w:val="0"/>
              <w:marRight w:val="0"/>
              <w:marTop w:val="0"/>
              <w:marBottom w:val="0"/>
              <w:divBdr>
                <w:top w:val="none" w:sz="0" w:space="0" w:color="auto"/>
                <w:left w:val="none" w:sz="0" w:space="0" w:color="auto"/>
                <w:bottom w:val="none" w:sz="0" w:space="0" w:color="auto"/>
                <w:right w:val="none" w:sz="0" w:space="0" w:color="auto"/>
              </w:divBdr>
              <w:divsChild>
                <w:div w:id="266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5933">
      <w:bodyDiv w:val="1"/>
      <w:marLeft w:val="0"/>
      <w:marRight w:val="0"/>
      <w:marTop w:val="0"/>
      <w:marBottom w:val="0"/>
      <w:divBdr>
        <w:top w:val="none" w:sz="0" w:space="0" w:color="auto"/>
        <w:left w:val="none" w:sz="0" w:space="0" w:color="auto"/>
        <w:bottom w:val="none" w:sz="0" w:space="0" w:color="auto"/>
        <w:right w:val="none" w:sz="0" w:space="0" w:color="auto"/>
      </w:divBdr>
      <w:divsChild>
        <w:div w:id="1077282510">
          <w:marLeft w:val="0"/>
          <w:marRight w:val="0"/>
          <w:marTop w:val="0"/>
          <w:marBottom w:val="0"/>
          <w:divBdr>
            <w:top w:val="none" w:sz="0" w:space="0" w:color="auto"/>
            <w:left w:val="none" w:sz="0" w:space="0" w:color="auto"/>
            <w:bottom w:val="none" w:sz="0" w:space="0" w:color="auto"/>
            <w:right w:val="none" w:sz="0" w:space="0" w:color="auto"/>
          </w:divBdr>
          <w:divsChild>
            <w:div w:id="591478813">
              <w:marLeft w:val="0"/>
              <w:marRight w:val="0"/>
              <w:marTop w:val="0"/>
              <w:marBottom w:val="0"/>
              <w:divBdr>
                <w:top w:val="none" w:sz="0" w:space="0" w:color="auto"/>
                <w:left w:val="none" w:sz="0" w:space="0" w:color="auto"/>
                <w:bottom w:val="none" w:sz="0" w:space="0" w:color="auto"/>
                <w:right w:val="none" w:sz="0" w:space="0" w:color="auto"/>
              </w:divBdr>
              <w:divsChild>
                <w:div w:id="788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2101">
      <w:bodyDiv w:val="1"/>
      <w:marLeft w:val="0"/>
      <w:marRight w:val="0"/>
      <w:marTop w:val="0"/>
      <w:marBottom w:val="0"/>
      <w:divBdr>
        <w:top w:val="none" w:sz="0" w:space="0" w:color="auto"/>
        <w:left w:val="none" w:sz="0" w:space="0" w:color="auto"/>
        <w:bottom w:val="none" w:sz="0" w:space="0" w:color="auto"/>
        <w:right w:val="none" w:sz="0" w:space="0" w:color="auto"/>
      </w:divBdr>
      <w:divsChild>
        <w:div w:id="1930582107">
          <w:marLeft w:val="0"/>
          <w:marRight w:val="0"/>
          <w:marTop w:val="0"/>
          <w:marBottom w:val="0"/>
          <w:divBdr>
            <w:top w:val="none" w:sz="0" w:space="0" w:color="auto"/>
            <w:left w:val="none" w:sz="0" w:space="0" w:color="auto"/>
            <w:bottom w:val="none" w:sz="0" w:space="0" w:color="auto"/>
            <w:right w:val="none" w:sz="0" w:space="0" w:color="auto"/>
          </w:divBdr>
          <w:divsChild>
            <w:div w:id="17057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12422">
      <w:bodyDiv w:val="1"/>
      <w:marLeft w:val="0"/>
      <w:marRight w:val="0"/>
      <w:marTop w:val="0"/>
      <w:marBottom w:val="0"/>
      <w:divBdr>
        <w:top w:val="none" w:sz="0" w:space="0" w:color="auto"/>
        <w:left w:val="none" w:sz="0" w:space="0" w:color="auto"/>
        <w:bottom w:val="none" w:sz="0" w:space="0" w:color="auto"/>
        <w:right w:val="none" w:sz="0" w:space="0" w:color="auto"/>
      </w:divBdr>
      <w:divsChild>
        <w:div w:id="835995124">
          <w:marLeft w:val="0"/>
          <w:marRight w:val="0"/>
          <w:marTop w:val="0"/>
          <w:marBottom w:val="0"/>
          <w:divBdr>
            <w:top w:val="none" w:sz="0" w:space="0" w:color="auto"/>
            <w:left w:val="none" w:sz="0" w:space="0" w:color="auto"/>
            <w:bottom w:val="none" w:sz="0" w:space="0" w:color="auto"/>
            <w:right w:val="none" w:sz="0" w:space="0" w:color="auto"/>
          </w:divBdr>
          <w:divsChild>
            <w:div w:id="167798115">
              <w:marLeft w:val="0"/>
              <w:marRight w:val="0"/>
              <w:marTop w:val="0"/>
              <w:marBottom w:val="0"/>
              <w:divBdr>
                <w:top w:val="none" w:sz="0" w:space="0" w:color="auto"/>
                <w:left w:val="none" w:sz="0" w:space="0" w:color="auto"/>
                <w:bottom w:val="none" w:sz="0" w:space="0" w:color="auto"/>
                <w:right w:val="none" w:sz="0" w:space="0" w:color="auto"/>
              </w:divBdr>
              <w:divsChild>
                <w:div w:id="12883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46627">
      <w:bodyDiv w:val="1"/>
      <w:marLeft w:val="0"/>
      <w:marRight w:val="0"/>
      <w:marTop w:val="0"/>
      <w:marBottom w:val="0"/>
      <w:divBdr>
        <w:top w:val="none" w:sz="0" w:space="0" w:color="auto"/>
        <w:left w:val="none" w:sz="0" w:space="0" w:color="auto"/>
        <w:bottom w:val="none" w:sz="0" w:space="0" w:color="auto"/>
        <w:right w:val="none" w:sz="0" w:space="0" w:color="auto"/>
      </w:divBdr>
      <w:divsChild>
        <w:div w:id="363218632">
          <w:marLeft w:val="0"/>
          <w:marRight w:val="0"/>
          <w:marTop w:val="0"/>
          <w:marBottom w:val="0"/>
          <w:divBdr>
            <w:top w:val="none" w:sz="0" w:space="0" w:color="auto"/>
            <w:left w:val="none" w:sz="0" w:space="0" w:color="auto"/>
            <w:bottom w:val="none" w:sz="0" w:space="0" w:color="auto"/>
            <w:right w:val="none" w:sz="0" w:space="0" w:color="auto"/>
          </w:divBdr>
          <w:divsChild>
            <w:div w:id="762603868">
              <w:marLeft w:val="0"/>
              <w:marRight w:val="0"/>
              <w:marTop w:val="0"/>
              <w:marBottom w:val="0"/>
              <w:divBdr>
                <w:top w:val="none" w:sz="0" w:space="0" w:color="auto"/>
                <w:left w:val="none" w:sz="0" w:space="0" w:color="auto"/>
                <w:bottom w:val="none" w:sz="0" w:space="0" w:color="auto"/>
                <w:right w:val="none" w:sz="0" w:space="0" w:color="auto"/>
              </w:divBdr>
              <w:divsChild>
                <w:div w:id="14416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suma.tv/video-nas-aldeias/spirit-tv" TargetMode="External"/><Relationship Id="rId7" Type="http://schemas.openxmlformats.org/officeDocument/2006/relationships/hyperlink" Target="http://www.isuma.tv/video-nas-aldeias/meeting-ancestors-arca-dos-zo%8E" TargetMode="External"/><Relationship Id="rId8" Type="http://schemas.openxmlformats.org/officeDocument/2006/relationships/hyperlink" Target="http://www.videonasaldeias.org.br/2009/biblioteca.php" TargetMode="External"/><Relationship Id="rId9" Type="http://schemas.openxmlformats.org/officeDocument/2006/relationships/hyperlink" Target="http://www.fap.pr.gov.br/arquivos/File/RevistaCientifica4vol2/11_artigo_David_William_Foster.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1295</Words>
  <Characters>7387</Characters>
  <Application>Microsoft Macintosh Word</Application>
  <DocSecurity>0</DocSecurity>
  <Lines>61</Lines>
  <Paragraphs>17</Paragraphs>
  <ScaleCrop>false</ScaleCrop>
  <Company>University of Cambridge</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Page</dc:creator>
  <cp:keywords/>
  <cp:lastModifiedBy>Joanna Page</cp:lastModifiedBy>
  <cp:revision>16</cp:revision>
  <dcterms:created xsi:type="dcterms:W3CDTF">2015-02-21T16:23:00Z</dcterms:created>
  <dcterms:modified xsi:type="dcterms:W3CDTF">2015-02-26T05:10:00Z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zotero-version="4.0.23"&gt;&lt;session id="JsLsbJhY"/&gt;&lt;style id="http://www.zotero.org/styles/chicago-fullnote-bibliography" hasBibliography="1" bibliographyStyleHasBeenSet="0"/&gt;&lt;prefs&gt;&lt;pref name="fieldType" value="Field"/&gt;&lt;pref name="sto</vt:lpwstr>
  </property>
  <property fmtid="{D5CDD505-2E9C-101B-9397-08002B2CF9AE}" pid="3" name="ZOTERO_PREF_2">
    <vt:lpwstr>reReferences" value="true"/&gt;&lt;pref name="automaticJournalAbbreviations" value="true"/&gt;&lt;pref name="noteType" value="1"/&gt;&lt;/prefs&gt;&lt;/data&gt;</vt:lpwstr>
  </property>
</Properties>
</file>